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w:t>
        </w:r>
        <w:r w:rsidRPr="004B5035">
          <w:rPr>
            <w:rStyle w:val="Hyperlink"/>
            <w:noProof/>
          </w:rPr>
          <w:t>c</w:t>
        </w:r>
        <w:r w:rsidRPr="004B5035">
          <w:rPr>
            <w:rStyle w:val="Hyperlink"/>
            <w:noProof/>
          </w:rPr>
          <w:t xml:space="preserve">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2965951" w:rsidR="00093CA9" w:rsidRDefault="00287C1D" w:rsidP="00093CA9">
            <w:r>
              <w:t>Reed Smith</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FE9723D" w:rsidR="00093CA9" w:rsidRDefault="00287C1D" w:rsidP="00093CA9">
            <w:r>
              <w:t>UAE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517538C" w:rsidR="00093CA9" w:rsidRDefault="00374A34" w:rsidP="00093CA9">
            <w:r w:rsidRPr="00374A34">
              <w:t>Ras Al Khaimah Green Public Procurement Guidelines pursuant to Resolution No 19 of 2024 regarding the adoption of green procurement by government departments and government owned companies in Ras Al Khaimah</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23CC45AD" w:rsidR="00093CA9" w:rsidRDefault="00A13155" w:rsidP="00A13155">
            <w:r>
              <w:t xml:space="preserve">The policy tool can be found here: </w:t>
            </w:r>
            <w:hyperlink r:id="rId17" w:anchor=":~:text=The%20scope%20of%20the%20GPP,GHG%20Emissions%20Protocol%2C%20by%20reducing" w:history="1">
              <w:r w:rsidRPr="00A13155">
                <w:rPr>
                  <w:rStyle w:val="Hyperlink"/>
                </w:rPr>
                <w:t>link</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9466EDF"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388FC5D"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5E59C884" w:rsidR="00093CA9" w:rsidRDefault="00374A34" w:rsidP="00093CA9">
            <w:r>
              <w:t>X</w:t>
            </w:r>
          </w:p>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89C8F25"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356E53AF"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1185EFC8" w:rsidR="00093CA9" w:rsidRDefault="00A13155" w:rsidP="00A13155">
            <w:pPr>
              <w:jc w:val="both"/>
            </w:pPr>
            <w:r w:rsidRPr="00A13155">
              <w:t>This policy tool is Emirate level and requires that the Ras Al Khaimah government and government owned entities apply a sustainability criteria throughout the process of procurement.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05DB4F44" w:rsidR="00093CA9" w:rsidRDefault="00A13155"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3E5946F5" w:rsidR="00093CA9" w:rsidRPr="00173D7C" w:rsidRDefault="00A13155" w:rsidP="00093CA9">
            <w:pPr>
              <w:rPr>
                <w:color w:val="000000" w:themeColor="text1"/>
              </w:rPr>
            </w:pPr>
            <w:r>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3A15F112" w:rsidR="00093CA9" w:rsidRDefault="0044360A" w:rsidP="00093CA9">
            <w:r>
              <w:t>Governmental department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013A2DD" w:rsidR="00093CA9" w:rsidRPr="006B7B0D" w:rsidRDefault="0044360A" w:rsidP="00093CA9">
            <w:r>
              <w:t>Department of Finance</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C5BD305" w:rsidR="00093CA9" w:rsidRPr="006B7B0D" w:rsidRDefault="0044360A"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32CFCBD4" w:rsidR="00093CA9" w:rsidRPr="006B7B0D" w:rsidRDefault="0044360A" w:rsidP="00093CA9">
            <w:r>
              <w:t xml:space="preserve">Investment and Development Office </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68CB42A7" w:rsidR="00093CA9" w:rsidRPr="006B7B0D" w:rsidRDefault="0044360A"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320B7F38" w:rsidR="00093CA9" w:rsidRPr="006B7B0D" w:rsidRDefault="0044360A" w:rsidP="00093CA9">
            <w:proofErr w:type="spellStart"/>
            <w:r>
              <w:t>EE&amp;R</w:t>
            </w:r>
            <w:proofErr w:type="spellEnd"/>
            <w:r>
              <w:t xml:space="preserve"> Committee</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E1C5185" w:rsidR="00093CA9" w:rsidRPr="006B7B0D" w:rsidRDefault="0044360A" w:rsidP="00093CA9">
            <w:r>
              <w:t>X</w:t>
            </w:r>
          </w:p>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1F7054C7" w:rsidR="00093CA9" w:rsidRDefault="0044360A"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34EF5C79" w:rsidR="00093CA9" w:rsidRPr="008017F9" w:rsidRDefault="0044360A" w:rsidP="0044360A">
            <w:pPr>
              <w:keepNext/>
              <w:jc w:val="both"/>
              <w:rPr>
                <w:color w:val="000000" w:themeColor="text1"/>
              </w:rPr>
            </w:pPr>
            <w:r>
              <w:rPr>
                <w:color w:val="000000" w:themeColor="text1"/>
              </w:rPr>
              <w:t xml:space="preserve">There is an online projects and tenders dashboard on the Ras Al Khaimah municipality website </w:t>
            </w:r>
            <w:hyperlink r:id="rId18" w:history="1">
              <w:r w:rsidRPr="0044360A">
                <w:rPr>
                  <w:rStyle w:val="Hyperlink"/>
                </w:rPr>
                <w:t>here</w:t>
              </w:r>
            </w:hyperlink>
            <w:r>
              <w:rPr>
                <w:color w:val="000000" w:themeColor="text1"/>
              </w:rPr>
              <w:t xml:space="preserve">. The implementation of the policy tool will be undertaken by the </w:t>
            </w:r>
            <w:proofErr w:type="spellStart"/>
            <w:r>
              <w:rPr>
                <w:color w:val="000000" w:themeColor="text1"/>
              </w:rPr>
              <w:t>EE&amp;R</w:t>
            </w:r>
            <w:proofErr w:type="spellEnd"/>
            <w:r>
              <w:rPr>
                <w:color w:val="000000" w:themeColor="text1"/>
              </w:rPr>
              <w:t xml:space="preserve"> committee pursuant to Section 402, on page 18.</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112FA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112FA4" w:rsidRDefault="00107CE2" w:rsidP="00DD3144">
            <w:pPr>
              <w:rPr>
                <w:lang w:val="fr-FR"/>
              </w:rPr>
            </w:pPr>
            <w:r w:rsidRPr="00112FA4">
              <w:rPr>
                <w:lang w:val="fr-FR"/>
              </w:rPr>
              <w:t>Minimum revenue (Enter minimum revenue)</w:t>
            </w:r>
          </w:p>
        </w:tc>
        <w:tc>
          <w:tcPr>
            <w:tcW w:w="4910" w:type="dxa"/>
            <w:gridSpan w:val="7"/>
            <w:shd w:val="clear" w:color="auto" w:fill="auto"/>
            <w:vAlign w:val="center"/>
          </w:tcPr>
          <w:p w14:paraId="2518BD70" w14:textId="77777777" w:rsidR="00524D54" w:rsidRPr="00112FA4" w:rsidRDefault="00524D54" w:rsidP="00DD3144">
            <w:pPr>
              <w:rPr>
                <w:lang w:val="fr-FR"/>
              </w:rPr>
            </w:pPr>
          </w:p>
        </w:tc>
      </w:tr>
      <w:tr w:rsidR="00524D54" w:rsidRPr="00287C1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112FA4"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112FA4" w:rsidRDefault="004F276F" w:rsidP="00C37D48">
            <w:pPr>
              <w:rPr>
                <w:rFonts w:ascii="Calibri" w:hAnsi="Calibri" w:cs="Calibri"/>
                <w:lang w:val="fr-FR"/>
              </w:rPr>
            </w:pPr>
            <w:r w:rsidRPr="00112FA4">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112FA4" w:rsidRDefault="004F276F" w:rsidP="00C37D48">
            <w:pPr>
              <w:rPr>
                <w:rFonts w:ascii="Calibri" w:hAnsi="Calibri" w:cs="Calibri"/>
                <w:lang w:val="fr-FR"/>
              </w:rPr>
            </w:pPr>
          </w:p>
        </w:tc>
      </w:tr>
      <w:tr w:rsidR="004F276F" w:rsidRPr="00287C1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16D7A116" w:rsidR="00D4323A" w:rsidRPr="00610F28" w:rsidRDefault="00FE46A4" w:rsidP="00610F28">
            <w:pPr>
              <w:rPr>
                <w:rFonts w:ascii="Calibri" w:hAnsi="Calibri" w:cs="Calibri"/>
              </w:rPr>
            </w:pPr>
            <w:r>
              <w:rPr>
                <w:rFonts w:ascii="Calibri" w:hAnsi="Calibri" w:cs="Calibri"/>
              </w:rPr>
              <w:t>X</w:t>
            </w: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6EB5F4EC" w:rsidR="00D4323A" w:rsidRPr="00610F28" w:rsidRDefault="00FE46A4" w:rsidP="00610F28">
            <w:pPr>
              <w:rPr>
                <w:rFonts w:ascii="Calibri" w:hAnsi="Calibri" w:cs="Calibri"/>
              </w:rPr>
            </w:pPr>
            <w:r>
              <w:rPr>
                <w:rFonts w:ascii="Calibri" w:hAnsi="Calibri" w:cs="Calibri"/>
              </w:rPr>
              <w:t>X</w:t>
            </w: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93A7BA" w:rsidR="00D4323A" w:rsidRPr="00610F28" w:rsidRDefault="00FE46A4" w:rsidP="00610F28">
            <w:pPr>
              <w:rPr>
                <w:rFonts w:ascii="Calibri" w:hAnsi="Calibri" w:cs="Calibri"/>
              </w:rPr>
            </w:pPr>
            <w:r>
              <w:rPr>
                <w:rFonts w:ascii="Calibri" w:hAnsi="Calibri" w:cs="Calibri"/>
              </w:rPr>
              <w:t>X</w:t>
            </w: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2FDF3206" w:rsidR="00D4323A" w:rsidRPr="00610F28" w:rsidRDefault="00FE46A4" w:rsidP="00610F28">
            <w:pPr>
              <w:rPr>
                <w:rFonts w:ascii="Calibri" w:hAnsi="Calibri" w:cs="Calibri"/>
              </w:rPr>
            </w:pPr>
            <w:r>
              <w:rPr>
                <w:rFonts w:ascii="Calibri" w:hAnsi="Calibri" w:cs="Calibri"/>
              </w:rPr>
              <w:t>X</w:t>
            </w: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ECB8475" w:rsidR="00D4323A" w:rsidRPr="00610F28" w:rsidRDefault="00FE46A4" w:rsidP="00610F28">
            <w:pPr>
              <w:rPr>
                <w:rFonts w:ascii="Calibri" w:hAnsi="Calibri" w:cs="Calibri"/>
              </w:rPr>
            </w:pPr>
            <w:r>
              <w:rPr>
                <w:rFonts w:ascii="Calibri" w:hAnsi="Calibri" w:cs="Calibri"/>
              </w:rPr>
              <w:t>X</w:t>
            </w: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17B2671E" w:rsidR="00D4323A" w:rsidRPr="00610F28" w:rsidRDefault="00FE46A4" w:rsidP="00610F28">
            <w:pPr>
              <w:rPr>
                <w:rFonts w:ascii="Calibri" w:hAnsi="Calibri" w:cs="Calibri"/>
              </w:rPr>
            </w:pPr>
            <w:r>
              <w:rPr>
                <w:rFonts w:ascii="Calibri" w:hAnsi="Calibri" w:cs="Calibri"/>
              </w:rPr>
              <w:t>X</w:t>
            </w: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0BBD356D" w:rsidR="00D4323A" w:rsidRPr="00610F28" w:rsidRDefault="008E7936" w:rsidP="00816C80">
            <w:pPr>
              <w:rPr>
                <w:rFonts w:ascii="Calibri" w:hAnsi="Calibri" w:cs="Calibri"/>
              </w:rPr>
            </w:pPr>
            <w:r w:rsidRPr="00610F28">
              <w:rPr>
                <w:rFonts w:ascii="Calibri" w:hAnsi="Calibri" w:cs="Calibri"/>
              </w:rPr>
              <w:t>X</w:t>
            </w: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2921EBC9" w:rsidR="00C66EE0" w:rsidRPr="00610F28" w:rsidRDefault="008E7936" w:rsidP="00610F28">
            <w:pPr>
              <w:rPr>
                <w:rFonts w:ascii="Calibri" w:hAnsi="Calibri" w:cs="Calibri"/>
              </w:rPr>
            </w:pPr>
            <w:r>
              <w:rPr>
                <w:rFonts w:ascii="Calibri" w:hAnsi="Calibri" w:cs="Calibri"/>
              </w:rPr>
              <w:t>All government entities which are defined as “government department or government owned company in Ra</w:t>
            </w:r>
            <w:r w:rsidR="00FE46A4">
              <w:rPr>
                <w:rFonts w:ascii="Calibri" w:hAnsi="Calibri" w:cs="Calibri"/>
              </w:rPr>
              <w:t>s</w:t>
            </w:r>
            <w:r>
              <w:rPr>
                <w:rFonts w:ascii="Calibri" w:hAnsi="Calibri" w:cs="Calibri"/>
              </w:rPr>
              <w:t xml:space="preserve"> Al Khaima</w:t>
            </w:r>
            <w:r w:rsidR="00FE46A4">
              <w:rPr>
                <w:rFonts w:ascii="Calibri" w:hAnsi="Calibri" w:cs="Calibri"/>
              </w:rPr>
              <w:t>h</w:t>
            </w:r>
            <w:r>
              <w:rPr>
                <w:rFonts w:ascii="Calibri" w:hAnsi="Calibri" w:cs="Calibri"/>
              </w:rPr>
              <w:t>”.</w:t>
            </w: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112FA4"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112FA4" w:rsidRDefault="00C66EE0" w:rsidP="00610F28">
            <w:pPr>
              <w:rPr>
                <w:rFonts w:ascii="Calibri" w:hAnsi="Calibri" w:cs="Calibri"/>
                <w:lang w:val="fr-FR"/>
              </w:rPr>
            </w:pPr>
            <w:r w:rsidRPr="00112FA4">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112FA4" w:rsidRDefault="00C66EE0" w:rsidP="00610F28">
            <w:pPr>
              <w:rPr>
                <w:rFonts w:ascii="Calibri" w:hAnsi="Calibri" w:cs="Calibri"/>
                <w:lang w:val="fr-FR"/>
              </w:rPr>
            </w:pPr>
          </w:p>
        </w:tc>
      </w:tr>
      <w:tr w:rsidR="00241257" w:rsidRPr="00287C1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28C30B16" w:rsidR="00C66EE0" w:rsidRPr="00610F28" w:rsidRDefault="00FE46A4" w:rsidP="00610F28">
            <w:pPr>
              <w:rPr>
                <w:rFonts w:ascii="Calibri" w:hAnsi="Calibri" w:cs="Calibri"/>
              </w:rPr>
            </w:pPr>
            <w:r>
              <w:rPr>
                <w:rFonts w:ascii="Calibri" w:hAnsi="Calibri" w:cs="Calibri"/>
              </w:rPr>
              <w:t xml:space="preserve">The entities which are required to comply with this policy tool are all government departments and government owned companies of Ras Al Khaimah. </w:t>
            </w: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502BC049" w:rsidR="00C66EE0" w:rsidRPr="00610F28" w:rsidRDefault="00816C80" w:rsidP="00610F28">
            <w:pPr>
              <w:rPr>
                <w:rFonts w:ascii="Calibri" w:hAnsi="Calibri" w:cs="Calibri"/>
              </w:rPr>
            </w:pPr>
            <w:r>
              <w:rPr>
                <w:rFonts w:ascii="Calibri" w:hAnsi="Calibri" w:cs="Calibri"/>
              </w:rPr>
              <w:t>X</w:t>
            </w: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0F6DCF0A" w:rsidR="00C66EE0" w:rsidRPr="00610F28" w:rsidRDefault="00816C80" w:rsidP="00610F28">
            <w:pPr>
              <w:rPr>
                <w:rFonts w:ascii="Calibri" w:hAnsi="Calibri" w:cs="Calibri"/>
              </w:rPr>
            </w:pPr>
            <w:r>
              <w:rPr>
                <w:rFonts w:ascii="Calibri" w:hAnsi="Calibri" w:cs="Calibri"/>
              </w:rPr>
              <w:t>X</w:t>
            </w: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lastRenderedPageBreak/>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C81ED44" w:rsidR="007B7083" w:rsidRPr="00610F28" w:rsidRDefault="00816C80" w:rsidP="00112FA4">
            <w:pPr>
              <w:jc w:val="both"/>
              <w:rPr>
                <w:rFonts w:ascii="Calibri" w:hAnsi="Calibri" w:cs="Calibri"/>
              </w:rPr>
            </w:pPr>
            <w:r>
              <w:rPr>
                <w:rFonts w:ascii="Calibri" w:hAnsi="Calibri" w:cs="Calibri"/>
              </w:rPr>
              <w:t>T</w:t>
            </w:r>
            <w:r w:rsidRPr="00816C80">
              <w:rPr>
                <w:rFonts w:ascii="Calibri" w:hAnsi="Calibri" w:cs="Calibri"/>
              </w:rPr>
              <w:t xml:space="preserve">here are no sanctions for non-compliance specified in the </w:t>
            </w:r>
            <w:r w:rsidR="00FE46A4">
              <w:rPr>
                <w:rFonts w:ascii="Calibri" w:hAnsi="Calibri" w:cs="Calibri"/>
              </w:rPr>
              <w:t>policy tool nor are there any sanctions specified in Resolution No 19 of 2024  regarding the adoption of green procurement by government departments and government owned companies in Ras Al Khaimah.</w:t>
            </w: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5A228945" w:rsidR="00C66EE0" w:rsidRPr="00610F28" w:rsidRDefault="00816C80" w:rsidP="00610F28">
            <w:pPr>
              <w:rPr>
                <w:rFonts w:ascii="Calibri" w:hAnsi="Calibri" w:cs="Calibri"/>
              </w:rPr>
            </w:pPr>
            <w:r>
              <w:rPr>
                <w:rFonts w:ascii="Calibri" w:hAnsi="Calibri" w:cs="Calibri"/>
              </w:rPr>
              <w:t>X</w:t>
            </w: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E70ABFC" w14:textId="5DA605DA" w:rsidR="00816C80" w:rsidRPr="00112FA4" w:rsidRDefault="00816C80" w:rsidP="00816C80">
            <w:pPr>
              <w:pStyle w:val="NormalWeb"/>
              <w:numPr>
                <w:ilvl w:val="0"/>
                <w:numId w:val="49"/>
              </w:numPr>
              <w:rPr>
                <w:rFonts w:ascii="Calibri" w:eastAsiaTheme="minorHAnsi" w:hAnsi="Calibri" w:cs="Calibri"/>
                <w:kern w:val="2"/>
                <w:lang w:eastAsia="en-US"/>
                <w14:ligatures w14:val="standardContextual"/>
              </w:rPr>
            </w:pPr>
            <w:r w:rsidRPr="00112FA4">
              <w:rPr>
                <w:rFonts w:ascii="Calibri" w:eastAsiaTheme="minorHAnsi" w:hAnsi="Calibri" w:cs="Calibri"/>
                <w:kern w:val="2"/>
                <w:lang w:eastAsia="en-US"/>
                <w14:ligatures w14:val="standardContextual"/>
              </w:rPr>
              <w:t xml:space="preserve">Page 1 </w:t>
            </w:r>
            <w:r w:rsidR="0010639D">
              <w:rPr>
                <w:rFonts w:ascii="Calibri" w:eastAsiaTheme="minorHAnsi" w:hAnsi="Calibri" w:cs="Calibri"/>
                <w:kern w:val="2"/>
                <w:lang w:eastAsia="en-US"/>
                <w14:ligatures w14:val="standardContextual"/>
              </w:rPr>
              <w:t>of the law (“</w:t>
            </w:r>
            <w:r w:rsidR="0010639D">
              <w:rPr>
                <w:rFonts w:ascii="Calibri" w:eastAsiaTheme="minorHAnsi" w:hAnsi="Calibri" w:cs="Calibri"/>
                <w:b/>
                <w:bCs/>
                <w:kern w:val="2"/>
                <w:lang w:eastAsia="en-US"/>
                <w14:ligatures w14:val="standardContextual"/>
              </w:rPr>
              <w:t>p. 1</w:t>
            </w:r>
            <w:r w:rsidR="0010639D">
              <w:rPr>
                <w:rFonts w:ascii="Calibri" w:eastAsiaTheme="minorHAnsi" w:hAnsi="Calibri" w:cs="Calibri"/>
                <w:kern w:val="2"/>
                <w:lang w:eastAsia="en-US"/>
                <w14:ligatures w14:val="standardContextual"/>
              </w:rPr>
              <w:t xml:space="preserve">”) </w:t>
            </w:r>
            <w:r w:rsidRPr="00112FA4">
              <w:rPr>
                <w:rFonts w:ascii="Calibri" w:eastAsiaTheme="minorHAnsi" w:hAnsi="Calibri" w:cs="Calibri"/>
                <w:kern w:val="2"/>
                <w:lang w:eastAsia="en-US"/>
                <w14:ligatures w14:val="standardContextual"/>
              </w:rPr>
              <w:t>notes, version 1.0 (2020) was issued for voluntary application, and version 2.0 (2024) was issued for mandatory adoption, which demonstrates that the GPP Guidelines were piloted and refined over time.</w:t>
            </w:r>
          </w:p>
          <w:p w14:paraId="7F1EBCBA" w14:textId="56CED247" w:rsidR="00C66EE0" w:rsidRDefault="008253D6" w:rsidP="00816C80">
            <w:pPr>
              <w:pStyle w:val="ListParagraph"/>
              <w:numPr>
                <w:ilvl w:val="0"/>
                <w:numId w:val="49"/>
              </w:numPr>
              <w:rPr>
                <w:rFonts w:ascii="Calibri" w:hAnsi="Calibri" w:cs="Calibri"/>
              </w:rPr>
            </w:pPr>
            <w:r>
              <w:rPr>
                <w:rFonts w:ascii="Calibri" w:hAnsi="Calibri" w:cs="Calibri"/>
              </w:rPr>
              <w:t xml:space="preserve">The guidelines </w:t>
            </w:r>
            <w:r w:rsidR="00816C80">
              <w:rPr>
                <w:rFonts w:ascii="Calibri" w:hAnsi="Calibri" w:cs="Calibri"/>
              </w:rPr>
              <w:t>l</w:t>
            </w:r>
            <w:r w:rsidR="00816C80" w:rsidRPr="00816C80">
              <w:rPr>
                <w:rFonts w:ascii="Calibri" w:hAnsi="Calibri" w:cs="Calibri"/>
              </w:rPr>
              <w:t xml:space="preserve">ists </w:t>
            </w:r>
            <w:r w:rsidR="00816C80" w:rsidRPr="00112FA4">
              <w:rPr>
                <w:rFonts w:ascii="Calibri" w:hAnsi="Calibri" w:cs="Calibri"/>
              </w:rPr>
              <w:t xml:space="preserve">examples of actual GPP </w:t>
            </w:r>
            <w:r w:rsidR="00816C80">
              <w:rPr>
                <w:rFonts w:ascii="Calibri" w:hAnsi="Calibri" w:cs="Calibri"/>
              </w:rPr>
              <w:t>i</w:t>
            </w:r>
            <w:r w:rsidR="00816C80" w:rsidRPr="00112FA4">
              <w:rPr>
                <w:rFonts w:ascii="Calibri" w:hAnsi="Calibri" w:cs="Calibri"/>
              </w:rPr>
              <w:t>nitiatives</w:t>
            </w:r>
            <w:r w:rsidR="00816C80" w:rsidRPr="00816C80">
              <w:rPr>
                <w:rFonts w:ascii="Calibri" w:hAnsi="Calibri" w:cs="Calibri"/>
              </w:rPr>
              <w:t xml:space="preserve"> that could only have emerged through voluntary adoption and experimentation</w:t>
            </w:r>
            <w:r>
              <w:rPr>
                <w:rFonts w:ascii="Calibri" w:hAnsi="Calibri" w:cs="Calibri"/>
              </w:rPr>
              <w:t xml:space="preserve"> (</w:t>
            </w:r>
            <w:r w:rsidRPr="00816C80">
              <w:rPr>
                <w:rFonts w:ascii="Calibri" w:hAnsi="Calibri" w:cs="Calibri"/>
              </w:rPr>
              <w:t>Section 501 (</w:t>
            </w:r>
            <w:r w:rsidR="0010639D">
              <w:rPr>
                <w:rFonts w:ascii="Calibri" w:hAnsi="Calibri" w:cs="Calibri"/>
              </w:rPr>
              <w:t>p.</w:t>
            </w:r>
            <w:r w:rsidRPr="00816C80">
              <w:rPr>
                <w:rFonts w:ascii="Calibri" w:hAnsi="Calibri" w:cs="Calibri"/>
              </w:rPr>
              <w:t xml:space="preserve"> 23)</w:t>
            </w:r>
            <w:r>
              <w:rPr>
                <w:rFonts w:ascii="Calibri" w:hAnsi="Calibri" w:cs="Calibri"/>
              </w:rPr>
              <w:t>)</w:t>
            </w:r>
            <w:r w:rsidR="00816C80">
              <w:rPr>
                <w:rFonts w:ascii="Calibri" w:hAnsi="Calibri" w:cs="Calibri"/>
              </w:rPr>
              <w:t>.</w:t>
            </w:r>
          </w:p>
          <w:p w14:paraId="33BD7BA1" w14:textId="77777777" w:rsidR="00FE46A4" w:rsidRDefault="00FE46A4" w:rsidP="00112FA4">
            <w:pPr>
              <w:pStyle w:val="ListParagraph"/>
              <w:rPr>
                <w:rFonts w:ascii="Calibri" w:hAnsi="Calibri" w:cs="Calibri"/>
              </w:rPr>
            </w:pPr>
          </w:p>
          <w:p w14:paraId="15196C29" w14:textId="12C301BC" w:rsidR="00816C80" w:rsidRDefault="008253D6" w:rsidP="00816C80">
            <w:pPr>
              <w:pStyle w:val="ListParagraph"/>
              <w:numPr>
                <w:ilvl w:val="0"/>
                <w:numId w:val="49"/>
              </w:numPr>
              <w:rPr>
                <w:rFonts w:ascii="Calibri" w:hAnsi="Calibri" w:cs="Calibri"/>
              </w:rPr>
            </w:pPr>
            <w:r>
              <w:rPr>
                <w:rFonts w:ascii="Calibri" w:hAnsi="Calibri" w:cs="Calibri"/>
              </w:rPr>
              <w:t xml:space="preserve">It </w:t>
            </w:r>
            <w:r w:rsidR="00816C80" w:rsidRPr="00816C80">
              <w:rPr>
                <w:rFonts w:ascii="Calibri" w:hAnsi="Calibri" w:cs="Calibri"/>
              </w:rPr>
              <w:t>outline</w:t>
            </w:r>
            <w:r>
              <w:rPr>
                <w:rFonts w:ascii="Calibri" w:hAnsi="Calibri" w:cs="Calibri"/>
              </w:rPr>
              <w:t>d</w:t>
            </w:r>
            <w:r w:rsidR="00816C80" w:rsidRPr="00816C80">
              <w:rPr>
                <w:rFonts w:ascii="Calibri" w:hAnsi="Calibri" w:cs="Calibri"/>
              </w:rPr>
              <w:t xml:space="preserve"> governance roles that had to be in place prior to mandatory enforcement, including: GPP Administrators, GPP Category and Initiative Leaders, Green Procurement Champions (GPCs), and Reem (Energy Efficiency &amp; Renewables Sector) as technical support and coordinator</w:t>
            </w:r>
            <w:r>
              <w:rPr>
                <w:rFonts w:ascii="Calibri" w:hAnsi="Calibri" w:cs="Calibri"/>
              </w:rPr>
              <w:t xml:space="preserve"> (</w:t>
            </w:r>
            <w:r w:rsidR="0010639D">
              <w:rPr>
                <w:rFonts w:ascii="Calibri" w:hAnsi="Calibri" w:cs="Calibri"/>
              </w:rPr>
              <w:t xml:space="preserve">p. </w:t>
            </w:r>
            <w:r w:rsidRPr="00816C80">
              <w:rPr>
                <w:rFonts w:ascii="Calibri" w:hAnsi="Calibri" w:cs="Calibri"/>
              </w:rPr>
              <w:t>18</w:t>
            </w:r>
            <w:r w:rsidR="0010639D">
              <w:rPr>
                <w:rFonts w:ascii="Calibri" w:hAnsi="Calibri" w:cs="Calibri"/>
              </w:rPr>
              <w:t xml:space="preserve"> - 20</w:t>
            </w:r>
            <w:r>
              <w:rPr>
                <w:rFonts w:ascii="Calibri" w:hAnsi="Calibri" w:cs="Calibri"/>
              </w:rPr>
              <w:t>).</w:t>
            </w:r>
          </w:p>
          <w:p w14:paraId="7CC3D3D2" w14:textId="35813709" w:rsidR="00FE46A4" w:rsidRPr="00816C80" w:rsidRDefault="00FE46A4" w:rsidP="00112FA4">
            <w:pPr>
              <w:pStyle w:val="ListParagraph"/>
              <w:rPr>
                <w:rFonts w:ascii="Calibri" w:hAnsi="Calibri" w:cs="Calibri"/>
              </w:rPr>
            </w:pPr>
          </w:p>
          <w:p w14:paraId="132CC192" w14:textId="2EA94732" w:rsidR="00816C80" w:rsidRPr="00112FA4" w:rsidRDefault="008253D6" w:rsidP="00112FA4">
            <w:pPr>
              <w:pStyle w:val="ListParagraph"/>
              <w:numPr>
                <w:ilvl w:val="0"/>
                <w:numId w:val="49"/>
              </w:numPr>
              <w:rPr>
                <w:rFonts w:ascii="Calibri" w:hAnsi="Calibri" w:cs="Calibri"/>
              </w:rPr>
            </w:pPr>
            <w:r w:rsidRPr="008253D6">
              <w:rPr>
                <w:rFonts w:ascii="Calibri" w:hAnsi="Calibri" w:cs="Calibri"/>
              </w:rPr>
              <w:t xml:space="preserve">There </w:t>
            </w:r>
            <w:r w:rsidR="0010639D" w:rsidRPr="008253D6">
              <w:rPr>
                <w:rFonts w:ascii="Calibri" w:hAnsi="Calibri" w:cs="Calibri"/>
              </w:rPr>
              <w:t>are</w:t>
            </w:r>
            <w:r w:rsidRPr="008253D6">
              <w:rPr>
                <w:rFonts w:ascii="Calibri" w:hAnsi="Calibri" w:cs="Calibri"/>
              </w:rPr>
              <w:t xml:space="preserve"> periodic reviews of the GPP criteria, piloting of the point-based evaluation system, annual progress reporting structure, roadmap for GPP integration with SAP procurement systems (</w:t>
            </w:r>
            <w:r w:rsidR="0010639D">
              <w:rPr>
                <w:rFonts w:ascii="Calibri" w:hAnsi="Calibri" w:cs="Calibri"/>
              </w:rPr>
              <w:t>p. 19</w:t>
            </w:r>
            <w:r w:rsidRPr="008253D6">
              <w:rPr>
                <w:rFonts w:ascii="Calibri" w:hAnsi="Calibri" w:cs="Calibri"/>
              </w:rPr>
              <w:t xml:space="preserve">), and </w:t>
            </w:r>
            <w:r>
              <w:rPr>
                <w:rFonts w:ascii="Calibri" w:hAnsi="Calibri" w:cs="Calibri"/>
              </w:rPr>
              <w:t>a</w:t>
            </w:r>
            <w:r w:rsidRPr="008253D6">
              <w:rPr>
                <w:rFonts w:ascii="Calibri" w:hAnsi="Calibri" w:cs="Calibri"/>
              </w:rPr>
              <w:t xml:space="preserve"> planned update cycle every three years for criteria and guidelines</w:t>
            </w:r>
            <w:r>
              <w:rPr>
                <w:rFonts w:ascii="Calibri" w:hAnsi="Calibri" w:cs="Calibri"/>
              </w:rPr>
              <w:t xml:space="preserve"> (</w:t>
            </w:r>
            <w:r w:rsidR="0010639D">
              <w:rPr>
                <w:rFonts w:ascii="Calibri" w:hAnsi="Calibri" w:cs="Calibri"/>
              </w:rPr>
              <w:t>p.</w:t>
            </w:r>
            <w:r w:rsidRPr="008253D6">
              <w:rPr>
                <w:rFonts w:ascii="Calibri" w:hAnsi="Calibri" w:cs="Calibri"/>
              </w:rPr>
              <w:t xml:space="preserve"> 20–21</w:t>
            </w:r>
            <w:r>
              <w:rPr>
                <w:rFonts w:ascii="Calibri" w:hAnsi="Calibri" w:cs="Calibri"/>
              </w:rPr>
              <w:t>).</w:t>
            </w: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060EE607" w:rsidR="00C66EE0" w:rsidRPr="00610F28" w:rsidRDefault="00A16B3D" w:rsidP="00610F28">
            <w:pPr>
              <w:rPr>
                <w:rFonts w:ascii="Calibri" w:hAnsi="Calibri" w:cs="Calibri"/>
              </w:rPr>
            </w:pPr>
            <w:r>
              <w:rPr>
                <w:rFonts w:ascii="Calibri" w:hAnsi="Calibri" w:cs="Calibri"/>
              </w:rPr>
              <w:t>X</w:t>
            </w: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lastRenderedPageBreak/>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1D291CC4" w:rsidR="00C66EE0" w:rsidRPr="00610F28" w:rsidRDefault="00A16B3D" w:rsidP="00610F28">
            <w:pPr>
              <w:rPr>
                <w:rFonts w:ascii="Calibri" w:hAnsi="Calibri" w:cs="Calibri"/>
              </w:rPr>
            </w:pPr>
            <w:r w:rsidRPr="00A16B3D">
              <w:rPr>
                <w:rFonts w:ascii="Calibri" w:hAnsi="Calibri" w:cs="Calibri"/>
              </w:rPr>
              <w:t>No, there is no known evidence in the document that the GPP policy tool has ever been enforced through regulatory action, disputes, sanctions, or penalties.</w:t>
            </w: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33D0702E" w:rsidR="00C66EE0" w:rsidRPr="00610F28" w:rsidRDefault="00A16B3D" w:rsidP="00610F28">
            <w:pPr>
              <w:rPr>
                <w:rFonts w:ascii="Calibri" w:hAnsi="Calibri" w:cs="Calibri"/>
              </w:rPr>
            </w:pPr>
            <w:r>
              <w:rPr>
                <w:rFonts w:ascii="Calibri" w:hAnsi="Calibri" w:cs="Calibri"/>
              </w:rPr>
              <w:t>X</w:t>
            </w: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0E0858B6" w:rsidR="00DF50B5" w:rsidRPr="00610F28" w:rsidRDefault="00A16B3D" w:rsidP="00610F28">
            <w:pPr>
              <w:rPr>
                <w:rFonts w:ascii="Calibri" w:hAnsi="Calibri" w:cs="Calibri"/>
              </w:rPr>
            </w:pPr>
            <w:r>
              <w:rPr>
                <w:rFonts w:ascii="Calibri" w:hAnsi="Calibri" w:cs="Calibri"/>
              </w:rPr>
              <w:t>X</w:t>
            </w: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7B8C5803" w14:textId="77777777" w:rsidR="00665009" w:rsidRPr="009A20D9" w:rsidRDefault="00665009" w:rsidP="00665009">
            <w:pPr>
              <w:pStyle w:val="ListParagraph"/>
              <w:numPr>
                <w:ilvl w:val="0"/>
                <w:numId w:val="51"/>
              </w:numPr>
              <w:spacing w:before="0" w:after="160" w:line="259" w:lineRule="auto"/>
            </w:pPr>
            <w:r w:rsidRPr="009A20D9">
              <w:t>GPP is mandated for Government Entities to implement and align with policy targets, including those related to climate and sustainability.</w:t>
            </w:r>
          </w:p>
          <w:p w14:paraId="52195869" w14:textId="77777777" w:rsidR="00665009" w:rsidRPr="009A20D9" w:rsidRDefault="00665009" w:rsidP="00665009">
            <w:pPr>
              <w:pStyle w:val="ListParagraph"/>
            </w:pPr>
            <w:r w:rsidRPr="009A20D9">
              <w:t>“</w:t>
            </w:r>
            <w:r w:rsidRPr="009A20D9">
              <w:rPr>
                <w:i/>
                <w:iCs/>
              </w:rPr>
              <w:t>Adoption of GPP is mandated by the Resolution, requiring Government Entities to set targets for implementation of GPP…</w:t>
            </w:r>
            <w:r w:rsidRPr="009A20D9">
              <w:t>” [p. 5]</w:t>
            </w:r>
          </w:p>
          <w:p w14:paraId="31618E96" w14:textId="77777777" w:rsidR="00665009" w:rsidRPr="002900C4" w:rsidRDefault="00665009" w:rsidP="00665009">
            <w:pPr>
              <w:pStyle w:val="ListParagraph"/>
              <w:numPr>
                <w:ilvl w:val="0"/>
                <w:numId w:val="51"/>
              </w:numPr>
              <w:spacing w:before="0" w:after="160" w:line="259" w:lineRule="auto"/>
            </w:pPr>
            <w:r w:rsidRPr="002900C4">
              <w:t>GPP directly supports the UAE’s Nationally Determined Contributions (</w:t>
            </w:r>
            <w:proofErr w:type="spellStart"/>
            <w:r w:rsidRPr="002900C4">
              <w:t>NDCs</w:t>
            </w:r>
            <w:proofErr w:type="spellEnd"/>
            <w:r w:rsidRPr="002900C4">
              <w:t>) under the Paris Agreement by reducing emissions and enabling the green economy.</w:t>
            </w:r>
            <w:r w:rsidRPr="009A20D9">
              <w:t xml:space="preserve"> </w:t>
            </w:r>
            <w:r w:rsidRPr="002900C4">
              <w:t>“</w:t>
            </w:r>
            <w:r w:rsidRPr="002900C4">
              <w:rPr>
                <w:i/>
                <w:iCs/>
              </w:rPr>
              <w:t>GPP supports these climate goals by reducing emissions…, boosting the green economy…, and supporting broader sustainability objectives.</w:t>
            </w:r>
            <w:r w:rsidRPr="002900C4">
              <w:t>”</w:t>
            </w:r>
            <w:r w:rsidRPr="009A20D9">
              <w:t xml:space="preserve"> </w:t>
            </w:r>
            <w:r w:rsidRPr="002900C4">
              <w:t>[p. 10]</w:t>
            </w:r>
          </w:p>
          <w:p w14:paraId="06A7CD30" w14:textId="77777777" w:rsidR="00665009" w:rsidRDefault="00665009" w:rsidP="00665009">
            <w:pPr>
              <w:pStyle w:val="ListParagraph"/>
              <w:numPr>
                <w:ilvl w:val="0"/>
                <w:numId w:val="51"/>
              </w:numPr>
              <w:spacing w:before="0" w:after="160" w:line="259" w:lineRule="auto"/>
            </w:pPr>
            <w:r w:rsidRPr="002900C4">
              <w:t>GPP is identified as a key tool under the UAE Green Agenda 2030, specifically under Strategic Objective 3, Program 3.2 – Environmental Goods &amp; Services.</w:t>
            </w:r>
            <w:r>
              <w:t xml:space="preserve"> </w:t>
            </w:r>
          </w:p>
          <w:p w14:paraId="6E7762DB" w14:textId="77777777" w:rsidR="00665009" w:rsidRPr="002900C4" w:rsidRDefault="00665009" w:rsidP="00665009">
            <w:pPr>
              <w:pStyle w:val="ListParagraph"/>
            </w:pPr>
            <w:r w:rsidRPr="002900C4">
              <w:lastRenderedPageBreak/>
              <w:t>“</w:t>
            </w:r>
            <w:r w:rsidRPr="002900C4">
              <w:rPr>
                <w:i/>
                <w:iCs/>
              </w:rPr>
              <w:t>GPP falls under the third objective and is one initiative of Program 3.2 Environmental Goods and Services…</w:t>
            </w:r>
            <w:r w:rsidRPr="002900C4">
              <w:t>”</w:t>
            </w:r>
            <w:r>
              <w:t xml:space="preserve"> </w:t>
            </w:r>
            <w:r w:rsidRPr="002900C4">
              <w:t>[p. 11]</w:t>
            </w:r>
          </w:p>
          <w:p w14:paraId="75186324" w14:textId="77777777" w:rsidR="00665009" w:rsidRDefault="00665009" w:rsidP="00665009">
            <w:pPr>
              <w:pStyle w:val="ListParagraph"/>
              <w:numPr>
                <w:ilvl w:val="0"/>
                <w:numId w:val="51"/>
              </w:numPr>
              <w:spacing w:before="0" w:after="160" w:line="259" w:lineRule="auto"/>
            </w:pPr>
            <w:r w:rsidRPr="002900C4">
              <w:t>GPP is embedded within Ras Al Khaimah’s own Integrated Sustainability Strategy (RISS), which includes goals such as reducing GHG emissions and supporting a low-carbon economy.</w:t>
            </w:r>
          </w:p>
          <w:p w14:paraId="43A05862" w14:textId="77777777" w:rsidR="00665009" w:rsidRPr="009A20D9" w:rsidRDefault="00665009" w:rsidP="00665009">
            <w:pPr>
              <w:pStyle w:val="ListParagraph"/>
            </w:pPr>
            <w:r w:rsidRPr="002900C4">
              <w:t>“</w:t>
            </w:r>
            <w:r w:rsidRPr="009A20D9">
              <w:rPr>
                <w:i/>
                <w:iCs/>
              </w:rPr>
              <w:t>GPP… became an initiative of RISS, within the Sustainable Buildings and Communities program.</w:t>
            </w:r>
            <w:r w:rsidRPr="002900C4">
              <w:t>”</w:t>
            </w:r>
            <w:r>
              <w:t xml:space="preserve"> </w:t>
            </w:r>
            <w:r w:rsidRPr="002900C4">
              <w:t>[p. 12]</w:t>
            </w:r>
          </w:p>
          <w:p w14:paraId="796B8EA0" w14:textId="77777777" w:rsidR="00665009" w:rsidRPr="009A20D9" w:rsidRDefault="00665009" w:rsidP="00665009">
            <w:pPr>
              <w:pStyle w:val="ListParagraph"/>
              <w:numPr>
                <w:ilvl w:val="0"/>
                <w:numId w:val="51"/>
              </w:numPr>
              <w:spacing w:before="0" w:after="160" w:line="259" w:lineRule="auto"/>
            </w:pPr>
            <w:r w:rsidRPr="002900C4">
              <w:t>Procurement specifications are designed to reduce emissions and environmental impacts, aligning spending with climate targets.</w:t>
            </w:r>
          </w:p>
          <w:p w14:paraId="2E4B86F6" w14:textId="77777777" w:rsidR="00665009" w:rsidRPr="009A20D9" w:rsidRDefault="00665009" w:rsidP="00665009">
            <w:pPr>
              <w:pStyle w:val="ListParagraph"/>
            </w:pPr>
            <w:r w:rsidRPr="009A20D9">
              <w:t>“</w:t>
            </w:r>
            <w:r w:rsidRPr="009A20D9">
              <w:rPr>
                <w:i/>
                <w:iCs/>
              </w:rPr>
              <w:t>Core Criteria address key environmental impacts, with a primary focus on energy and water consumption.</w:t>
            </w:r>
            <w:r w:rsidRPr="009A20D9">
              <w:t>” [p. 24]</w:t>
            </w:r>
          </w:p>
          <w:p w14:paraId="22856881" w14:textId="77777777" w:rsidR="00665009" w:rsidRPr="009A20D9" w:rsidRDefault="00665009" w:rsidP="00665009">
            <w:pPr>
              <w:pStyle w:val="ListParagraph"/>
              <w:numPr>
                <w:ilvl w:val="0"/>
                <w:numId w:val="51"/>
              </w:numPr>
              <w:spacing w:before="0" w:after="160" w:line="259" w:lineRule="auto"/>
            </w:pPr>
            <w:r w:rsidRPr="002900C4">
              <w:t>Life-Cycle Costing (</w:t>
            </w:r>
            <w:proofErr w:type="spellStart"/>
            <w:r w:rsidRPr="002900C4">
              <w:t>LCC</w:t>
            </w:r>
            <w:proofErr w:type="spellEnd"/>
            <w:r w:rsidRPr="002900C4">
              <w:t>) is promoted to drive better environmental outcomes, such as lower energy/water consumption and waste reduction.</w:t>
            </w:r>
          </w:p>
          <w:p w14:paraId="7306EE3C" w14:textId="77777777" w:rsidR="00665009" w:rsidRPr="009A20D9" w:rsidRDefault="00665009" w:rsidP="00665009">
            <w:pPr>
              <w:pStyle w:val="ListParagraph"/>
            </w:pPr>
            <w:r w:rsidRPr="009A20D9">
              <w:t xml:space="preserve">“When </w:t>
            </w:r>
            <w:proofErr w:type="spellStart"/>
            <w:r w:rsidRPr="009A20D9">
              <w:t>LCC</w:t>
            </w:r>
            <w:proofErr w:type="spellEnd"/>
            <w:r w:rsidRPr="009A20D9">
              <w:t xml:space="preserve"> is considered… this also leads to better environmental performance…” [p. 6]</w:t>
            </w:r>
          </w:p>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lastRenderedPageBreak/>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6122610F" w:rsidR="00DF50B5" w:rsidRPr="00610F28" w:rsidRDefault="00665009" w:rsidP="00610F28">
            <w:pPr>
              <w:rPr>
                <w:rFonts w:ascii="Calibri" w:hAnsi="Calibri" w:cs="Calibri"/>
              </w:rPr>
            </w:pPr>
            <w:r>
              <w:rPr>
                <w:rFonts w:ascii="Calibri" w:hAnsi="Calibri" w:cs="Calibri"/>
              </w:rPr>
              <w:t>X</w:t>
            </w: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lastRenderedPageBreak/>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177AE59" w:rsidR="00DF50B5" w:rsidRPr="00610F28" w:rsidRDefault="00665009" w:rsidP="00112FA4">
            <w:pPr>
              <w:jc w:val="both"/>
              <w:rPr>
                <w:rFonts w:ascii="Calibri" w:hAnsi="Calibri" w:cs="Calibri"/>
              </w:rPr>
            </w:pPr>
            <w:r>
              <w:rPr>
                <w:rFonts w:ascii="Calibri" w:hAnsi="Calibri" w:cs="Calibri"/>
              </w:rPr>
              <w:t>T</w:t>
            </w:r>
            <w:r w:rsidRPr="00665009">
              <w:rPr>
                <w:rFonts w:ascii="Calibri" w:hAnsi="Calibri" w:cs="Calibri"/>
              </w:rPr>
              <w:t>he policy is principle</w:t>
            </w:r>
            <w:r>
              <w:rPr>
                <w:rFonts w:ascii="Calibri" w:hAnsi="Calibri" w:cs="Calibri"/>
              </w:rPr>
              <w:t xml:space="preserve"> </w:t>
            </w:r>
            <w:r w:rsidRPr="00665009">
              <w:rPr>
                <w:rFonts w:ascii="Calibri" w:hAnsi="Calibri" w:cs="Calibri"/>
              </w:rPr>
              <w:t xml:space="preserve">based and provides qualitative guidance to encourage green procurement, such </w:t>
            </w:r>
            <w:r w:rsidR="008208A0" w:rsidRPr="00665009">
              <w:rPr>
                <w:rFonts w:ascii="Calibri" w:hAnsi="Calibri" w:cs="Calibri"/>
              </w:rPr>
              <w:t>as</w:t>
            </w:r>
            <w:r>
              <w:rPr>
                <w:rFonts w:ascii="Calibri" w:hAnsi="Calibri" w:cs="Calibri"/>
              </w:rPr>
              <w:t xml:space="preserve"> e</w:t>
            </w:r>
            <w:r w:rsidRPr="00665009">
              <w:rPr>
                <w:rFonts w:ascii="Calibri" w:hAnsi="Calibri" w:cs="Calibri"/>
              </w:rPr>
              <w:t>ncouraging the use of energy-efficient and low-carbon products</w:t>
            </w:r>
            <w:r>
              <w:rPr>
                <w:rFonts w:ascii="Calibri" w:hAnsi="Calibri" w:cs="Calibri"/>
              </w:rPr>
              <w:t>, r</w:t>
            </w:r>
            <w:r w:rsidRPr="00665009">
              <w:rPr>
                <w:rFonts w:ascii="Calibri" w:hAnsi="Calibri" w:cs="Calibri"/>
              </w:rPr>
              <w:t>ecommending procurement of products with eco-labels or sustainability certifications</w:t>
            </w:r>
            <w:r>
              <w:rPr>
                <w:rFonts w:ascii="Calibri" w:hAnsi="Calibri" w:cs="Calibri"/>
              </w:rPr>
              <w:t>, p</w:t>
            </w:r>
            <w:r w:rsidRPr="00665009">
              <w:rPr>
                <w:rFonts w:ascii="Calibri" w:hAnsi="Calibri" w:cs="Calibri"/>
              </w:rPr>
              <w:t xml:space="preserve">romoting </w:t>
            </w:r>
            <w:r w:rsidR="008208A0" w:rsidRPr="00665009">
              <w:rPr>
                <w:rFonts w:ascii="Calibri" w:hAnsi="Calibri" w:cs="Calibri"/>
              </w:rPr>
              <w:t>life cycle</w:t>
            </w:r>
            <w:r w:rsidRPr="00665009">
              <w:rPr>
                <w:rFonts w:ascii="Calibri" w:hAnsi="Calibri" w:cs="Calibri"/>
              </w:rPr>
              <w:t xml:space="preserve"> costing and environmental criteria in tendering</w:t>
            </w:r>
            <w:r>
              <w:rPr>
                <w:rFonts w:ascii="Calibri" w:hAnsi="Calibri" w:cs="Calibri"/>
              </w:rPr>
              <w:t>, and r</w:t>
            </w:r>
            <w:r w:rsidRPr="00665009">
              <w:rPr>
                <w:rFonts w:ascii="Calibri" w:hAnsi="Calibri" w:cs="Calibri"/>
              </w:rPr>
              <w:t>equiring government entities to report on green procurement practices annually</w:t>
            </w:r>
            <w:r>
              <w:rPr>
                <w:rFonts w:ascii="Calibri" w:hAnsi="Calibri" w:cs="Calibri"/>
              </w:rPr>
              <w:t>.</w:t>
            </w: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3961127E" w:rsidR="00DF50B5" w:rsidRPr="00610F28" w:rsidRDefault="00334CE7" w:rsidP="00610F28">
            <w:pPr>
              <w:rPr>
                <w:rFonts w:ascii="Calibri" w:hAnsi="Calibri" w:cs="Calibri"/>
              </w:rPr>
            </w:pPr>
            <w:r>
              <w:rPr>
                <w:rFonts w:ascii="Calibri" w:hAnsi="Calibri" w:cs="Calibri"/>
              </w:rPr>
              <w:t xml:space="preserve">X </w:t>
            </w: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43A59E92" w:rsidR="00DF50B5" w:rsidRPr="00610F28" w:rsidRDefault="00EA622F" w:rsidP="00610F28">
            <w:pPr>
              <w:rPr>
                <w:rFonts w:ascii="Calibri" w:hAnsi="Calibri" w:cs="Calibri"/>
              </w:rPr>
            </w:pPr>
            <w:r>
              <w:rPr>
                <w:rFonts w:ascii="Calibri" w:hAnsi="Calibri" w:cs="Calibri"/>
              </w:rPr>
              <w:t xml:space="preserve">X </w:t>
            </w: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47EBB635" w:rsidR="00DF50B5" w:rsidRPr="00610F28" w:rsidRDefault="00EA622F" w:rsidP="00610F28">
            <w:pPr>
              <w:rPr>
                <w:rFonts w:ascii="Calibri" w:hAnsi="Calibri" w:cs="Calibri"/>
              </w:rPr>
            </w:pPr>
            <w:r>
              <w:rPr>
                <w:rFonts w:ascii="Calibri" w:hAnsi="Calibri" w:cs="Calibri"/>
              </w:rPr>
              <w:t xml:space="preserve">X </w:t>
            </w: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78AED6C1" w:rsidR="00DF50B5" w:rsidRPr="00610F28" w:rsidRDefault="004D57A9" w:rsidP="00610F28">
            <w:pPr>
              <w:rPr>
                <w:rFonts w:ascii="Calibri" w:hAnsi="Calibri" w:cs="Calibri"/>
              </w:rPr>
            </w:pPr>
            <w:r>
              <w:rPr>
                <w:rFonts w:ascii="Calibri" w:hAnsi="Calibri" w:cs="Calibri"/>
              </w:rPr>
              <w:t xml:space="preserve">X </w:t>
            </w: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18479E9A" w:rsidR="00DF50B5" w:rsidRPr="00610F28" w:rsidRDefault="004D57A9" w:rsidP="00610F28">
            <w:pPr>
              <w:rPr>
                <w:rFonts w:ascii="Calibri" w:hAnsi="Calibri" w:cs="Calibri"/>
              </w:rPr>
            </w:pPr>
            <w:r>
              <w:rPr>
                <w:rFonts w:ascii="Calibri" w:hAnsi="Calibri" w:cs="Calibri"/>
              </w:rPr>
              <w:t xml:space="preserve">X </w:t>
            </w: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36BEAAD7" w:rsidR="00DF50B5" w:rsidRPr="00610F28" w:rsidRDefault="004D57A9" w:rsidP="00610F28">
            <w:pPr>
              <w:rPr>
                <w:rFonts w:ascii="Calibri" w:hAnsi="Calibri" w:cs="Calibri"/>
              </w:rPr>
            </w:pPr>
            <w:r>
              <w:rPr>
                <w:rFonts w:ascii="Calibri" w:hAnsi="Calibri" w:cs="Calibri"/>
              </w:rPr>
              <w:t xml:space="preserve">X </w:t>
            </w: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05221FB9" w:rsidR="00DF50B5" w:rsidRPr="00610F28" w:rsidRDefault="004D57A9" w:rsidP="00610F28">
            <w:pPr>
              <w:rPr>
                <w:rFonts w:ascii="Calibri" w:hAnsi="Calibri" w:cs="Calibri"/>
              </w:rPr>
            </w:pPr>
            <w:r>
              <w:rPr>
                <w:rFonts w:ascii="Calibri" w:hAnsi="Calibri" w:cs="Calibri"/>
              </w:rPr>
              <w:t xml:space="preserve">X </w:t>
            </w:r>
          </w:p>
        </w:tc>
        <w:tc>
          <w:tcPr>
            <w:tcW w:w="1824" w:type="dxa"/>
            <w:vAlign w:val="center"/>
          </w:tcPr>
          <w:p w14:paraId="760B8252" w14:textId="4F3EA1E0" w:rsidR="00DF50B5" w:rsidRPr="00610F28" w:rsidRDefault="004D57A9" w:rsidP="00610F28">
            <w:pPr>
              <w:rPr>
                <w:rFonts w:ascii="Calibri" w:hAnsi="Calibri" w:cs="Calibri"/>
              </w:rPr>
            </w:pPr>
            <w:r>
              <w:rPr>
                <w:rFonts w:ascii="Calibri" w:hAnsi="Calibri" w:cs="Calibri"/>
              </w:rPr>
              <w:t xml:space="preserve">X </w:t>
            </w: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lastRenderedPageBreak/>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66C5F7B1" w14:textId="31F60750" w:rsidR="00DF50B5" w:rsidRDefault="00334CE7" w:rsidP="00EA622F">
            <w:pPr>
              <w:pStyle w:val="ListParagraph"/>
              <w:numPr>
                <w:ilvl w:val="0"/>
                <w:numId w:val="52"/>
              </w:numPr>
              <w:rPr>
                <w:rFonts w:ascii="Calibri" w:hAnsi="Calibri" w:cs="Calibri"/>
              </w:rPr>
            </w:pPr>
            <w:r w:rsidRPr="00112FA4">
              <w:rPr>
                <w:rFonts w:ascii="Calibri" w:hAnsi="Calibri" w:cs="Calibri"/>
              </w:rPr>
              <w:t>T</w:t>
            </w:r>
            <w:r w:rsidR="00EA622F">
              <w:rPr>
                <w:rFonts w:ascii="Calibri" w:hAnsi="Calibri" w:cs="Calibri"/>
              </w:rPr>
              <w:t>his policy tool</w:t>
            </w:r>
            <w:r w:rsidR="00EA622F" w:rsidRPr="00EA622F">
              <w:rPr>
                <w:rFonts w:ascii="Calibri" w:hAnsi="Calibri" w:cs="Calibri"/>
              </w:rPr>
              <w:t xml:space="preserve"> requires</w:t>
            </w:r>
            <w:r w:rsidRPr="00112FA4">
              <w:rPr>
                <w:rFonts w:ascii="Calibri" w:hAnsi="Calibri" w:cs="Calibri"/>
              </w:rPr>
              <w:t xml:space="preserve"> government entities to consider </w:t>
            </w:r>
            <w:r>
              <w:rPr>
                <w:rFonts w:ascii="Calibri" w:hAnsi="Calibri" w:cs="Calibri"/>
              </w:rPr>
              <w:t xml:space="preserve">GPP, </w:t>
            </w:r>
            <w:r w:rsidRPr="00112FA4">
              <w:rPr>
                <w:rFonts w:ascii="Calibri" w:hAnsi="Calibri" w:cs="Calibri"/>
              </w:rPr>
              <w:t>which explicitly includes climate change mitigation and GHG emissions reductions</w:t>
            </w:r>
            <w:r>
              <w:rPr>
                <w:rFonts w:ascii="Calibri" w:hAnsi="Calibri" w:cs="Calibri"/>
              </w:rPr>
              <w:t xml:space="preserve"> </w:t>
            </w:r>
            <w:r w:rsidRPr="00112FA4">
              <w:rPr>
                <w:rFonts w:ascii="Calibri" w:hAnsi="Calibri" w:cs="Calibri"/>
              </w:rPr>
              <w:t>when defining their procurement needs and planning their procurement activities. This is mandated through the setting of annual GPP targets and embedding GPP into the procurement planning process.</w:t>
            </w:r>
            <w:r>
              <w:rPr>
                <w:rFonts w:ascii="Calibri" w:hAnsi="Calibri" w:cs="Calibri"/>
              </w:rPr>
              <w:t xml:space="preserve"> (</w:t>
            </w:r>
            <w:r w:rsidRPr="00334CE7">
              <w:rPr>
                <w:rFonts w:ascii="Calibri" w:hAnsi="Calibri" w:cs="Calibri"/>
              </w:rPr>
              <w:t xml:space="preserve">Division Four, Section 401, </w:t>
            </w:r>
            <w:r w:rsidR="004D57A9">
              <w:rPr>
                <w:rFonts w:ascii="Calibri" w:hAnsi="Calibri" w:cs="Calibri"/>
              </w:rPr>
              <w:t>p.</w:t>
            </w:r>
            <w:r w:rsidRPr="00334CE7">
              <w:rPr>
                <w:rFonts w:ascii="Calibri" w:hAnsi="Calibri" w:cs="Calibri"/>
              </w:rPr>
              <w:t xml:space="preserve"> 15; Division Four, Section 402, </w:t>
            </w:r>
            <w:r w:rsidR="004D57A9">
              <w:rPr>
                <w:rFonts w:ascii="Calibri" w:hAnsi="Calibri" w:cs="Calibri"/>
              </w:rPr>
              <w:t>p.</w:t>
            </w:r>
            <w:r w:rsidRPr="00334CE7">
              <w:rPr>
                <w:rFonts w:ascii="Calibri" w:hAnsi="Calibri" w:cs="Calibri"/>
              </w:rPr>
              <w:t xml:space="preserve"> 19</w:t>
            </w:r>
            <w:r>
              <w:rPr>
                <w:rFonts w:ascii="Calibri" w:hAnsi="Calibri" w:cs="Calibri"/>
              </w:rPr>
              <w:t>)</w:t>
            </w:r>
          </w:p>
          <w:p w14:paraId="33085112" w14:textId="75419A54" w:rsidR="00EA622F" w:rsidRDefault="00EA622F" w:rsidP="00334CE7">
            <w:pPr>
              <w:pStyle w:val="ListParagraph"/>
              <w:numPr>
                <w:ilvl w:val="0"/>
                <w:numId w:val="52"/>
              </w:numPr>
              <w:rPr>
                <w:rFonts w:ascii="Calibri" w:hAnsi="Calibri" w:cs="Calibri"/>
              </w:rPr>
            </w:pPr>
            <w:r w:rsidRPr="00EA622F">
              <w:rPr>
                <w:rFonts w:ascii="Calibri" w:hAnsi="Calibri" w:cs="Calibri"/>
              </w:rPr>
              <w:t>Th</w:t>
            </w:r>
            <w:r>
              <w:rPr>
                <w:rFonts w:ascii="Calibri" w:hAnsi="Calibri" w:cs="Calibri"/>
              </w:rPr>
              <w:t>is</w:t>
            </w:r>
            <w:r w:rsidRPr="00EA622F">
              <w:rPr>
                <w:rFonts w:ascii="Calibri" w:hAnsi="Calibri" w:cs="Calibri"/>
              </w:rPr>
              <w:t xml:space="preserve"> </w:t>
            </w:r>
            <w:r>
              <w:rPr>
                <w:rFonts w:ascii="Calibri" w:hAnsi="Calibri" w:cs="Calibri"/>
              </w:rPr>
              <w:t>policy tool</w:t>
            </w:r>
            <w:r w:rsidRPr="00EA622F">
              <w:rPr>
                <w:rFonts w:ascii="Calibri" w:hAnsi="Calibri" w:cs="Calibri"/>
              </w:rPr>
              <w:t xml:space="preserve"> requires government entities to define their own targets for the adoption of Green Public Procurement (GPP) and to issue an internal GPP policy within their organisation to facilitate the adoption of the GPP Guidelines. This ensures alignment of procurement practices with climate objectives.</w:t>
            </w:r>
            <w:r>
              <w:rPr>
                <w:rFonts w:ascii="Calibri" w:hAnsi="Calibri" w:cs="Calibri"/>
              </w:rPr>
              <w:t xml:space="preserve"> (</w:t>
            </w:r>
            <w:r w:rsidRPr="00EA622F">
              <w:rPr>
                <w:rFonts w:ascii="Calibri" w:hAnsi="Calibri" w:cs="Calibri"/>
              </w:rPr>
              <w:t xml:space="preserve">Division Four, Section 402, </w:t>
            </w:r>
            <w:r w:rsidR="004D57A9">
              <w:rPr>
                <w:rFonts w:ascii="Calibri" w:hAnsi="Calibri" w:cs="Calibri"/>
              </w:rPr>
              <w:t>p.</w:t>
            </w:r>
            <w:r w:rsidRPr="00EA622F">
              <w:rPr>
                <w:rFonts w:ascii="Calibri" w:hAnsi="Calibri" w:cs="Calibri"/>
              </w:rPr>
              <w:t xml:space="preserve"> 19)</w:t>
            </w:r>
          </w:p>
          <w:p w14:paraId="52FDCF4F" w14:textId="3182B102" w:rsidR="00EA622F" w:rsidRDefault="00EA622F" w:rsidP="00334CE7">
            <w:pPr>
              <w:pStyle w:val="ListParagraph"/>
              <w:numPr>
                <w:ilvl w:val="0"/>
                <w:numId w:val="52"/>
              </w:numPr>
              <w:rPr>
                <w:rFonts w:ascii="Calibri" w:hAnsi="Calibri" w:cs="Calibri"/>
              </w:rPr>
            </w:pPr>
            <w:r w:rsidRPr="00EA622F">
              <w:rPr>
                <w:rFonts w:ascii="Calibri" w:hAnsi="Calibri" w:cs="Calibri"/>
              </w:rPr>
              <w:t>Th</w:t>
            </w:r>
            <w:r>
              <w:rPr>
                <w:rFonts w:ascii="Calibri" w:hAnsi="Calibri" w:cs="Calibri"/>
              </w:rPr>
              <w:t>is</w:t>
            </w:r>
            <w:r w:rsidRPr="00EA622F">
              <w:rPr>
                <w:rFonts w:ascii="Calibri" w:hAnsi="Calibri" w:cs="Calibri"/>
              </w:rPr>
              <w:t xml:space="preserve"> </w:t>
            </w:r>
            <w:r>
              <w:rPr>
                <w:rFonts w:ascii="Calibri" w:hAnsi="Calibri" w:cs="Calibri"/>
              </w:rPr>
              <w:t>policy tool</w:t>
            </w:r>
            <w:r w:rsidRPr="00EA622F">
              <w:rPr>
                <w:rFonts w:ascii="Calibri" w:hAnsi="Calibri" w:cs="Calibri"/>
              </w:rPr>
              <w:t xml:space="preserve"> recommends that procuring entities set aside a portion of their procurement budgets for climate-aligned (green) procurement. Specifically, it</w:t>
            </w:r>
            <w:r>
              <w:rPr>
                <w:rFonts w:ascii="Calibri" w:hAnsi="Calibri" w:cs="Calibri"/>
              </w:rPr>
              <w:t xml:space="preserve"> is</w:t>
            </w:r>
            <w:r w:rsidRPr="00EA622F">
              <w:rPr>
                <w:rFonts w:ascii="Calibri" w:hAnsi="Calibri" w:cs="Calibri"/>
              </w:rPr>
              <w:t xml:space="preserve"> state</w:t>
            </w:r>
            <w:r>
              <w:rPr>
                <w:rFonts w:ascii="Calibri" w:hAnsi="Calibri" w:cs="Calibri"/>
              </w:rPr>
              <w:t>d</w:t>
            </w:r>
            <w:r w:rsidRPr="00EA622F">
              <w:rPr>
                <w:rFonts w:ascii="Calibri" w:hAnsi="Calibri" w:cs="Calibri"/>
              </w:rPr>
              <w:t xml:space="preserve"> that during procurement planning, "</w:t>
            </w:r>
            <w:r w:rsidRPr="00112FA4">
              <w:rPr>
                <w:rFonts w:ascii="Calibri" w:hAnsi="Calibri" w:cs="Calibri"/>
                <w:i/>
                <w:iCs/>
              </w:rPr>
              <w:t>Government Entities shall develop annual targets for the implementation of GPP, as mandated by the Resolution. This target definition process is further detailed in Chapter 402</w:t>
            </w:r>
            <w:r w:rsidRPr="00EA622F">
              <w:rPr>
                <w:rFonts w:ascii="Calibri" w:hAnsi="Calibri" w:cs="Calibri"/>
              </w:rPr>
              <w:t xml:space="preserve">" (Division Four, Section 401, </w:t>
            </w:r>
            <w:r w:rsidR="004D57A9">
              <w:rPr>
                <w:rFonts w:ascii="Calibri" w:hAnsi="Calibri" w:cs="Calibri"/>
              </w:rPr>
              <w:t>p.</w:t>
            </w:r>
            <w:r w:rsidRPr="00EA622F">
              <w:rPr>
                <w:rFonts w:ascii="Calibri" w:hAnsi="Calibri" w:cs="Calibri"/>
              </w:rPr>
              <w:t xml:space="preserve"> 15). These targets may include specifying "</w:t>
            </w:r>
            <w:r w:rsidRPr="00112FA4">
              <w:rPr>
                <w:rFonts w:ascii="Calibri" w:hAnsi="Calibri" w:cs="Calibri"/>
                <w:i/>
                <w:iCs/>
              </w:rPr>
              <w:t>a share of the overall procurement, either by value or by number of contracts, to comply with the GPP Guidelines</w:t>
            </w:r>
            <w:r w:rsidRPr="00EA622F">
              <w:rPr>
                <w:rFonts w:ascii="Calibri" w:hAnsi="Calibri" w:cs="Calibri"/>
              </w:rPr>
              <w:t xml:space="preserve">" (Division Four, Section 402, </w:t>
            </w:r>
            <w:r w:rsidR="004D57A9">
              <w:rPr>
                <w:rFonts w:ascii="Calibri" w:hAnsi="Calibri" w:cs="Calibri"/>
              </w:rPr>
              <w:t>p.</w:t>
            </w:r>
            <w:r w:rsidRPr="00EA622F">
              <w:rPr>
                <w:rFonts w:ascii="Calibri" w:hAnsi="Calibri" w:cs="Calibri"/>
              </w:rPr>
              <w:t xml:space="preserve"> 19)</w:t>
            </w:r>
          </w:p>
          <w:p w14:paraId="43619A54" w14:textId="77777777" w:rsidR="00EA622F" w:rsidRDefault="004D57A9" w:rsidP="00334CE7">
            <w:pPr>
              <w:pStyle w:val="ListParagraph"/>
              <w:numPr>
                <w:ilvl w:val="0"/>
                <w:numId w:val="52"/>
              </w:numPr>
              <w:rPr>
                <w:rFonts w:ascii="Calibri" w:hAnsi="Calibri" w:cs="Calibri"/>
              </w:rPr>
            </w:pPr>
            <w:r>
              <w:rPr>
                <w:rFonts w:ascii="Calibri" w:hAnsi="Calibri" w:cs="Calibri"/>
              </w:rPr>
              <w:t xml:space="preserve">There is </w:t>
            </w:r>
            <w:r w:rsidRPr="004D57A9">
              <w:rPr>
                <w:rFonts w:ascii="Calibri" w:hAnsi="Calibri" w:cs="Calibri"/>
              </w:rPr>
              <w:t>no explicit requirement</w:t>
            </w:r>
            <w:r>
              <w:rPr>
                <w:rFonts w:ascii="Calibri" w:hAnsi="Calibri" w:cs="Calibri"/>
              </w:rPr>
              <w:t xml:space="preserve"> that entities must include procurement emissions in their carbon budget.</w:t>
            </w:r>
          </w:p>
          <w:p w14:paraId="13E1BAF9" w14:textId="77777777" w:rsidR="004D57A9" w:rsidRDefault="004D57A9" w:rsidP="00334CE7">
            <w:pPr>
              <w:pStyle w:val="ListParagraph"/>
              <w:numPr>
                <w:ilvl w:val="0"/>
                <w:numId w:val="52"/>
              </w:numPr>
              <w:rPr>
                <w:rFonts w:ascii="Calibri" w:hAnsi="Calibri" w:cs="Calibri"/>
              </w:rPr>
            </w:pPr>
            <w:r w:rsidRPr="004D57A9">
              <w:rPr>
                <w:rFonts w:ascii="Calibri" w:hAnsi="Calibri" w:cs="Calibri"/>
              </w:rPr>
              <w:t xml:space="preserve">The </w:t>
            </w:r>
            <w:r>
              <w:rPr>
                <w:rFonts w:ascii="Calibri" w:hAnsi="Calibri" w:cs="Calibri"/>
              </w:rPr>
              <w:t>policy tool</w:t>
            </w:r>
            <w:r w:rsidRPr="004D57A9">
              <w:rPr>
                <w:rFonts w:ascii="Calibri" w:hAnsi="Calibri" w:cs="Calibri"/>
              </w:rPr>
              <w:t xml:space="preserve"> allows that procuring entities engage in pre-procurement consultation or dialogue with market actors, including in relation to climate considerations. This is reflected in Division Four, Section 401 "</w:t>
            </w:r>
            <w:r w:rsidRPr="00112FA4">
              <w:rPr>
                <w:rFonts w:ascii="Calibri" w:hAnsi="Calibri" w:cs="Calibri"/>
                <w:i/>
                <w:iCs/>
              </w:rPr>
              <w:t>GPP in the Procurement Process</w:t>
            </w:r>
            <w:r w:rsidRPr="004D57A9">
              <w:rPr>
                <w:rFonts w:ascii="Calibri" w:hAnsi="Calibri" w:cs="Calibri"/>
              </w:rPr>
              <w:t>" (</w:t>
            </w:r>
            <w:r>
              <w:rPr>
                <w:rFonts w:ascii="Calibri" w:hAnsi="Calibri" w:cs="Calibri"/>
              </w:rPr>
              <w:t xml:space="preserve">p. </w:t>
            </w:r>
            <w:r w:rsidRPr="004D57A9">
              <w:rPr>
                <w:rFonts w:ascii="Calibri" w:hAnsi="Calibri" w:cs="Calibri"/>
              </w:rPr>
              <w:t>15), which states that government entities can "</w:t>
            </w:r>
            <w:r w:rsidRPr="00112FA4">
              <w:rPr>
                <w:rFonts w:ascii="Calibri" w:hAnsi="Calibri" w:cs="Calibri"/>
                <w:i/>
                <w:iCs/>
              </w:rPr>
              <w:t>identify new ways which meet their demand but require less or different purchases</w:t>
            </w:r>
            <w:r w:rsidRPr="004D57A9">
              <w:rPr>
                <w:rFonts w:ascii="Calibri" w:hAnsi="Calibri" w:cs="Calibri"/>
              </w:rPr>
              <w:t xml:space="preserve">," and encourages the consideration of environmentally friendly products and suppliers at the early stages of procurement planning. </w:t>
            </w:r>
          </w:p>
          <w:p w14:paraId="69C56E0E" w14:textId="77777777" w:rsidR="004D57A9" w:rsidRDefault="00101DB8" w:rsidP="00334CE7">
            <w:pPr>
              <w:pStyle w:val="ListParagraph"/>
              <w:numPr>
                <w:ilvl w:val="0"/>
                <w:numId w:val="52"/>
              </w:numPr>
              <w:rPr>
                <w:rFonts w:ascii="Calibri" w:hAnsi="Calibri" w:cs="Calibri"/>
              </w:rPr>
            </w:pPr>
            <w:r w:rsidRPr="00101DB8">
              <w:rPr>
                <w:rFonts w:ascii="Calibri" w:hAnsi="Calibri" w:cs="Calibri"/>
              </w:rPr>
              <w:t>The guidelines recommend that government entities consider environmentally friendly procurement objectives and GPP initiatives at the procurement planning stage, including rethinking procurement needs to reduce resource use and emissions</w:t>
            </w:r>
            <w:r>
              <w:rPr>
                <w:rFonts w:ascii="Calibri" w:hAnsi="Calibri" w:cs="Calibri"/>
              </w:rPr>
              <w:t>.</w:t>
            </w:r>
            <w:r w:rsidRPr="00101DB8">
              <w:rPr>
                <w:rFonts w:ascii="Calibri" w:hAnsi="Calibri" w:cs="Calibri"/>
              </w:rPr>
              <w:t xml:space="preserve"> (Division Four, Section 401, </w:t>
            </w:r>
            <w:r>
              <w:rPr>
                <w:rFonts w:ascii="Calibri" w:hAnsi="Calibri" w:cs="Calibri"/>
              </w:rPr>
              <w:t>p.</w:t>
            </w:r>
            <w:r w:rsidRPr="00101DB8">
              <w:rPr>
                <w:rFonts w:ascii="Calibri" w:hAnsi="Calibri" w:cs="Calibri"/>
              </w:rPr>
              <w:t xml:space="preserve"> 15; Division Five, Section 501, </w:t>
            </w:r>
            <w:r>
              <w:rPr>
                <w:rFonts w:ascii="Calibri" w:hAnsi="Calibri" w:cs="Calibri"/>
              </w:rPr>
              <w:t>p.</w:t>
            </w:r>
            <w:r w:rsidRPr="00101DB8">
              <w:rPr>
                <w:rFonts w:ascii="Calibri" w:hAnsi="Calibri" w:cs="Calibri"/>
              </w:rPr>
              <w:t xml:space="preserve"> 23)</w:t>
            </w:r>
          </w:p>
          <w:p w14:paraId="02047A08" w14:textId="01C81941" w:rsidR="00101DB8" w:rsidRPr="00112FA4" w:rsidRDefault="00101DB8" w:rsidP="00112FA4">
            <w:pPr>
              <w:pStyle w:val="ListParagraph"/>
              <w:numPr>
                <w:ilvl w:val="0"/>
                <w:numId w:val="52"/>
              </w:numPr>
              <w:rPr>
                <w:rFonts w:ascii="Calibri" w:hAnsi="Calibri" w:cs="Calibri"/>
              </w:rPr>
            </w:pPr>
            <w:r w:rsidRPr="00101DB8">
              <w:rPr>
                <w:rFonts w:ascii="Calibri" w:hAnsi="Calibri" w:cs="Calibri"/>
              </w:rPr>
              <w:t xml:space="preserve">Government entities are required to set annual targets for the implementation of GPP, which must be embedded in their overall planning process (Division Four, Section 401, </w:t>
            </w:r>
            <w:r>
              <w:rPr>
                <w:rFonts w:ascii="Calibri" w:hAnsi="Calibri" w:cs="Calibri"/>
              </w:rPr>
              <w:t>p.</w:t>
            </w:r>
            <w:r w:rsidRPr="00101DB8">
              <w:rPr>
                <w:rFonts w:ascii="Calibri" w:hAnsi="Calibri" w:cs="Calibri"/>
              </w:rPr>
              <w:t xml:space="preserve"> 15; Section 402, </w:t>
            </w:r>
            <w:r>
              <w:rPr>
                <w:rFonts w:ascii="Calibri" w:hAnsi="Calibri" w:cs="Calibri"/>
              </w:rPr>
              <w:t>p.</w:t>
            </w:r>
            <w:r w:rsidRPr="00101DB8">
              <w:rPr>
                <w:rFonts w:ascii="Calibri" w:hAnsi="Calibri" w:cs="Calibri"/>
              </w:rPr>
              <w:t xml:space="preserve"> 19). The use of a life-cycle cost (</w:t>
            </w:r>
            <w:proofErr w:type="spellStart"/>
            <w:r w:rsidRPr="00101DB8">
              <w:rPr>
                <w:rFonts w:ascii="Calibri" w:hAnsi="Calibri" w:cs="Calibri"/>
              </w:rPr>
              <w:t>LCC</w:t>
            </w:r>
            <w:proofErr w:type="spellEnd"/>
            <w:r w:rsidRPr="00101DB8">
              <w:rPr>
                <w:rFonts w:ascii="Calibri" w:hAnsi="Calibri" w:cs="Calibri"/>
              </w:rPr>
              <w:t>) approach, which supports climate change mitigation, is also promoted as a requirement for high-value items</w:t>
            </w:r>
            <w:r>
              <w:rPr>
                <w:rFonts w:ascii="Calibri" w:hAnsi="Calibri" w:cs="Calibri"/>
              </w:rPr>
              <w:t>.</w:t>
            </w:r>
            <w:r w:rsidRPr="00101DB8">
              <w:rPr>
                <w:rFonts w:ascii="Calibri" w:hAnsi="Calibri" w:cs="Calibri"/>
              </w:rPr>
              <w:t xml:space="preserve"> (Division Two, Section 202, </w:t>
            </w:r>
            <w:r>
              <w:rPr>
                <w:rFonts w:ascii="Calibri" w:hAnsi="Calibri" w:cs="Calibri"/>
              </w:rPr>
              <w:t>p.</w:t>
            </w:r>
            <w:r w:rsidRPr="00101DB8">
              <w:rPr>
                <w:rFonts w:ascii="Calibri" w:hAnsi="Calibri" w:cs="Calibri"/>
              </w:rPr>
              <w:t xml:space="preserve"> 6; Division Four, Section 401, </w:t>
            </w:r>
            <w:r>
              <w:rPr>
                <w:rFonts w:ascii="Calibri" w:hAnsi="Calibri" w:cs="Calibri"/>
              </w:rPr>
              <w:t>p.</w:t>
            </w:r>
            <w:r w:rsidRPr="00101DB8">
              <w:rPr>
                <w:rFonts w:ascii="Calibri" w:hAnsi="Calibri" w:cs="Calibri"/>
              </w:rPr>
              <w:t xml:space="preserve"> 15)</w:t>
            </w: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64DF687C" w:rsidR="00DF50B5" w:rsidRPr="00610F28" w:rsidRDefault="00FE46A4" w:rsidP="00610F28">
            <w:pPr>
              <w:rPr>
                <w:rFonts w:ascii="Calibri" w:hAnsi="Calibri" w:cs="Calibri"/>
              </w:rPr>
            </w:pPr>
            <w:r>
              <w:rPr>
                <w:rFonts w:ascii="Calibri" w:hAnsi="Calibri" w:cs="Calibri"/>
              </w:rPr>
              <w:t>X</w:t>
            </w: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lastRenderedPageBreak/>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6EFE88EC" w:rsidR="00DF50B5" w:rsidRPr="00610F28" w:rsidRDefault="0056497D" w:rsidP="00610F28">
            <w:pPr>
              <w:rPr>
                <w:rFonts w:ascii="Calibri" w:hAnsi="Calibri" w:cs="Calibri"/>
              </w:rPr>
            </w:pPr>
            <w:r>
              <w:rPr>
                <w:rFonts w:ascii="Calibri" w:hAnsi="Calibri" w:cs="Calibri"/>
              </w:rPr>
              <w:t>X</w:t>
            </w: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4CAB370A" w:rsidR="00DF50B5" w:rsidRPr="00610F28" w:rsidRDefault="0056497D" w:rsidP="00610F28">
            <w:pPr>
              <w:rPr>
                <w:rFonts w:ascii="Calibri" w:hAnsi="Calibri" w:cs="Calibri"/>
              </w:rPr>
            </w:pPr>
            <w:r>
              <w:rPr>
                <w:rFonts w:ascii="Calibri" w:hAnsi="Calibri" w:cs="Calibri"/>
              </w:rPr>
              <w:t>X</w:t>
            </w: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7F97143C" w:rsidR="00DF50B5" w:rsidRPr="00610F28" w:rsidRDefault="0056497D" w:rsidP="00610F28">
            <w:pPr>
              <w:rPr>
                <w:rFonts w:ascii="Calibri" w:hAnsi="Calibri" w:cs="Calibri"/>
              </w:rPr>
            </w:pPr>
            <w:r>
              <w:rPr>
                <w:rFonts w:ascii="Calibri" w:hAnsi="Calibri" w:cs="Calibri"/>
              </w:rPr>
              <w:t>X</w:t>
            </w: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38F3364F"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17A2486E" w:rsidR="00DF50B5" w:rsidRPr="00610F28" w:rsidRDefault="00FE46A4" w:rsidP="00112FA4">
            <w:pPr>
              <w:jc w:val="both"/>
              <w:rPr>
                <w:rFonts w:ascii="Calibri" w:hAnsi="Calibri" w:cs="Calibri"/>
              </w:rPr>
            </w:pPr>
            <w:r>
              <w:rPr>
                <w:rFonts w:ascii="Calibri" w:hAnsi="Calibri" w:cs="Calibri"/>
              </w:rPr>
              <w:t xml:space="preserve">The policy tool provides that it supports the climate goals set out in the Nationally Determined Contributions </w:t>
            </w:r>
            <w:proofErr w:type="spellStart"/>
            <w:r>
              <w:rPr>
                <w:rFonts w:ascii="Calibri" w:hAnsi="Calibri" w:cs="Calibri"/>
              </w:rPr>
              <w:t>NDC</w:t>
            </w:r>
            <w:proofErr w:type="spellEnd"/>
            <w:r>
              <w:rPr>
                <w:rFonts w:ascii="Calibri" w:hAnsi="Calibri" w:cs="Calibri"/>
              </w:rPr>
              <w:t xml:space="preserve"> for the UAE, the UAE Green Agenda 2030 and the UAE’s First Long Term Strategy pursuant to section 302, page 1</w:t>
            </w:r>
            <w:r w:rsidR="0056497D">
              <w:rPr>
                <w:rFonts w:ascii="Calibri" w:hAnsi="Calibri" w:cs="Calibri"/>
              </w:rPr>
              <w:t>0</w:t>
            </w:r>
            <w:r>
              <w:rPr>
                <w:rFonts w:ascii="Calibri" w:hAnsi="Calibri" w:cs="Calibri"/>
              </w:rPr>
              <w:t xml:space="preserve">. </w:t>
            </w:r>
            <w:r w:rsidR="0056497D">
              <w:rPr>
                <w:rFonts w:ascii="Calibri" w:hAnsi="Calibri" w:cs="Calibri"/>
              </w:rPr>
              <w:t>It will support these goals by reducing emissions as a result of prioritising low-carbon, energy efficient products and services, boosting the green economy and supporting broader sustainability initiatives. It also sets out various different programs being implemented to support such policy tools, including the environmental goods and services program. The policy tool further makes direct reference to the National Climate Change Plan 2017-20150 (page 11 of the policy tool), and states that “as an immediate action, federal and emirate level governments are encouraged to develop policies for climate smart industries and services.”</w:t>
            </w: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E397AFA" w:rsidR="00DF50B5" w:rsidRPr="00610F28" w:rsidRDefault="0056497D" w:rsidP="00610F28">
            <w:pPr>
              <w:rPr>
                <w:rStyle w:val="normaltextrun"/>
                <w:rFonts w:ascii="Calibri" w:hAnsi="Calibri" w:cs="Calibri"/>
                <w:color w:val="000000" w:themeColor="text1"/>
                <w:shd w:val="clear" w:color="auto" w:fill="FFFFFF"/>
                <w:lang w:val="en-US"/>
              </w:rPr>
            </w:pPr>
            <w:r>
              <w:rPr>
                <w:rStyle w:val="normaltextrun"/>
                <w:rFonts w:ascii="Calibri" w:hAnsi="Calibri" w:cs="Calibri"/>
                <w:color w:val="000000" w:themeColor="text1"/>
                <w:shd w:val="clear" w:color="auto" w:fill="FFFFFF"/>
                <w:lang w:val="en-US"/>
              </w:rPr>
              <w:t>X</w:t>
            </w: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lastRenderedPageBreak/>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3436C125" w:rsidR="00A56BE5" w:rsidRPr="00971C0E" w:rsidRDefault="0056497D"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07799088" w:rsidR="00A56BE5" w:rsidRPr="00971C0E" w:rsidRDefault="0056497D"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08BE4C16"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55DAA085" w:rsidR="00A56BE5" w:rsidRPr="00971C0E" w:rsidRDefault="0056497D"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5CF3FCD9" w:rsidR="00D94180" w:rsidRPr="00971C0E" w:rsidRDefault="0056497D"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Section 401, page 15 of the policy tool details the procurement process and implementation framework. It provides that the first step in the process is to analyze the procurement needs. The second step is to set out the technical specifications and terms of reference for all types of work, including the consideration of the life-cycle cost. The policy tool sets out that “</w:t>
            </w:r>
            <w:proofErr w:type="spellStart"/>
            <w:r>
              <w:rPr>
                <w:rStyle w:val="normaltextrun"/>
                <w:rFonts w:cstheme="minorHAnsi"/>
                <w:color w:val="000000"/>
                <w:shd w:val="clear" w:color="auto" w:fill="FFFFFF"/>
                <w:lang w:val="en-US"/>
              </w:rPr>
              <w:t>LCC</w:t>
            </w:r>
            <w:proofErr w:type="spellEnd"/>
            <w:r>
              <w:rPr>
                <w:rStyle w:val="normaltextrun"/>
                <w:rFonts w:cstheme="minorHAnsi"/>
                <w:color w:val="000000"/>
                <w:shd w:val="clear" w:color="auto" w:fill="FFFFFF"/>
                <w:lang w:val="en-US"/>
              </w:rPr>
              <w:t xml:space="preserve"> analysis is typically only justified for high value items or projects, the GPP Guidelines simplify such evaluation for buyers by defining GPP Criteria for common categories of spend.” The GPP Criteria is designed for commonly purchased categories of products, services and contracting works as set out in Annex A and Annex B of the policy tool. </w:t>
            </w: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258638CC" w:rsidR="008A4685" w:rsidRPr="00610F28" w:rsidRDefault="00E311B3"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3BB6FDD2" w:rsidR="008A4685" w:rsidRPr="00610F28" w:rsidRDefault="00E311B3"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2A102DAB" w:rsidR="008A4685" w:rsidRPr="00610F28" w:rsidRDefault="00E311B3"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30D9A5C6" w:rsidR="008A4685" w:rsidRPr="00610F28" w:rsidRDefault="00E311B3"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396AEC82" w:rsidR="008A4685" w:rsidRPr="00610F28" w:rsidRDefault="00E311B3"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13CD167" w:rsidR="008A4685" w:rsidRPr="00610F28" w:rsidRDefault="00E311B3"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6AB3D8E1" w14:textId="77777777" w:rsidR="00E311B3" w:rsidRDefault="0056497D" w:rsidP="00E311B3">
            <w:pPr>
              <w:jc w:val="both"/>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 xml:space="preserve">Page 16 of the policy tool provides that in the tender evaluation “the consideration of extra points to begiven to those suppliers adopting and implementing green practices as provided in Annex C”. </w:t>
            </w:r>
            <w:r w:rsidR="00E311B3">
              <w:rPr>
                <w:rStyle w:val="normaltextrun"/>
                <w:rFonts w:ascii="Calibri" w:hAnsi="Calibri" w:cs="Calibri"/>
                <w:color w:val="000000"/>
                <w:shd w:val="clear" w:color="auto" w:fill="FFFFFF"/>
                <w:lang w:val="en-US"/>
              </w:rPr>
              <w:t>Once the tender has been awarded, for the supplier “any environmental results should be measured against the outcome that was initially desired”. For the purchase of products, services or contracting works that are not covered in Annex A or Annex B of the policy tool, it mandates that the government entities may consider environmental aspects based on the life-cycle cost approach.</w:t>
            </w:r>
          </w:p>
          <w:p w14:paraId="1FEBD8A5" w14:textId="1FA85CDD" w:rsidR="004557A1" w:rsidRPr="00610F28" w:rsidRDefault="004557A1" w:rsidP="00112FA4">
            <w:pPr>
              <w:jc w:val="both"/>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lastRenderedPageBreak/>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314DD3FC" w:rsidR="008A4685" w:rsidRPr="00CF2E7C" w:rsidRDefault="00E311B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30A81006" w:rsidR="008A4685" w:rsidRPr="00CF2E7C" w:rsidRDefault="00E311B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55BFF7C0" w:rsidR="008A4685" w:rsidRPr="00CF2E7C" w:rsidRDefault="00E311B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FF866AE" w:rsidR="008A4685" w:rsidRPr="00CF2E7C" w:rsidRDefault="00E311B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366C330A" w:rsidR="008A4685" w:rsidRPr="00CF2E7C" w:rsidRDefault="00E311B3" w:rsidP="00CF2E7C">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0752623" w:rsidR="008A4685" w:rsidRPr="00CF2E7C" w:rsidRDefault="00BF417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954CD55" w:rsidR="008A4685" w:rsidRPr="00CF2E7C" w:rsidRDefault="00BF417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lastRenderedPageBreak/>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69D7F9FB" w:rsidR="008A4685" w:rsidRPr="00CF2E7C" w:rsidRDefault="00BF417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6157C52E" w:rsidR="008A4685" w:rsidRPr="00CF2E7C" w:rsidRDefault="00BF417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0C94E46A" w:rsidR="00CD5934" w:rsidRPr="00CF2E7C" w:rsidRDefault="00BF4172" w:rsidP="00112FA4">
            <w:pPr>
              <w:jc w:val="both"/>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 xml:space="preserve">Annex C of the policy tool sets out the GPP Criteria for Tender Evaluation which includes adding points for suppliers that fulfil certain criteria in respect of their supply chain such as efforts in reducing energy and water consumption, efforts in reducing emissions, efforts to limit pollution, having sustainable operations. </w:t>
            </w: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0D3E86B" w:rsidR="008A4685" w:rsidRPr="00CF2E7C" w:rsidRDefault="00BF417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4C78CABA" w:rsidR="008A4685" w:rsidRPr="00CF2E7C" w:rsidRDefault="00BF417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55A9C9D6" w:rsidR="008A4685" w:rsidRPr="00CF2E7C" w:rsidRDefault="00BF417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565D513" w:rsidR="008A4685" w:rsidRPr="00CF2E7C" w:rsidRDefault="00BF417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lastRenderedPageBreak/>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31ED75BC" w:rsidR="008A4685" w:rsidRPr="00CF2E7C" w:rsidRDefault="00BF417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15947B61" w:rsidR="008A4685" w:rsidRPr="00CF2E7C" w:rsidRDefault="00BF417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3BC527C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3A5330FA" w:rsidR="008A4685" w:rsidRPr="00CF2E7C" w:rsidRDefault="00BF417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6286EAFB" w:rsidR="008A4685" w:rsidRPr="00CF2E7C" w:rsidRDefault="00BF417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663CC904" w:rsidR="008A4685" w:rsidRPr="00CF2E7C" w:rsidRDefault="00BF417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39B9506A" w:rsidR="008A4685" w:rsidRPr="00CF2E7C" w:rsidRDefault="00BF417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42767989" w:rsidR="008A4685" w:rsidRPr="00CF2E7C" w:rsidRDefault="00BF417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40B87FDD" w:rsidR="008A4685" w:rsidRPr="00CF2E7C" w:rsidRDefault="00BF417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26A9A61F" w:rsidR="008A4685" w:rsidRPr="00CF2E7C" w:rsidRDefault="00BF417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677E537F" w:rsidR="00483D65" w:rsidRPr="00CF2E7C" w:rsidRDefault="00BF4172" w:rsidP="00112FA4">
            <w:pPr>
              <w:jc w:val="both"/>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The technical specifications for the tendering of suppliers are set out in Annex A and Annex B of the policy tool, However, additional points can be granted to suppliers that satisfy the additional climate related initiatives set out in Annex C. However, these rules are optional at the solicitation stage. For example, Annex C provides that the supplier would get additional points if it has a carbon neutral certification from a third party, or recycles content in its total production (self-declared).</w:t>
            </w: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21AC9A4A" w:rsidR="009A5C4E" w:rsidRPr="0074258C" w:rsidRDefault="00BF4172" w:rsidP="00CF2E7C">
            <w:pPr>
              <w:rPr>
                <w:rStyle w:val="normaltextrun"/>
                <w:rFonts w:cstheme="minorHAnsi"/>
                <w:color w:val="000000"/>
                <w:lang w:val="en-US"/>
              </w:rPr>
            </w:pPr>
            <w:r>
              <w:rPr>
                <w:rStyle w:val="normaltextrun"/>
                <w:rFonts w:cstheme="minorHAnsi"/>
                <w:color w:val="000000"/>
                <w:lang w:val="en-US"/>
              </w:rPr>
              <w:t>X</w:t>
            </w: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195D074E" w:rsidR="009A5C4E" w:rsidRPr="0074258C" w:rsidRDefault="00BF4172" w:rsidP="00112FA4">
            <w:pPr>
              <w:jc w:val="both"/>
              <w:rPr>
                <w:rStyle w:val="normaltextrun"/>
                <w:rFonts w:cstheme="minorHAnsi"/>
                <w:color w:val="000000"/>
                <w:shd w:val="clear" w:color="auto" w:fill="FFFFFF"/>
                <w:lang w:val="en-US"/>
              </w:rPr>
            </w:pPr>
            <w:r>
              <w:rPr>
                <w:rStyle w:val="normaltextrun"/>
                <w:rFonts w:cstheme="minorHAnsi"/>
                <w:color w:val="000000"/>
                <w:shd w:val="clear" w:color="auto" w:fill="FFFFFF"/>
                <w:lang w:val="en-US"/>
              </w:rPr>
              <w:t xml:space="preserve">Page 17 of the policy tool provides that “for products, services or contracting works were included in the specifications, these should be inserted into the contract or purchase order to serve as proof of obligation of the supplier. Upon delivery, government entities should also monitor whether the GPP Criteria are being </w:t>
            </w:r>
            <w:r w:rsidR="00112FA4">
              <w:rPr>
                <w:rStyle w:val="normaltextrun"/>
                <w:rFonts w:cstheme="minorHAnsi"/>
                <w:color w:val="000000"/>
                <w:shd w:val="clear" w:color="auto" w:fill="FFFFFF"/>
                <w:lang w:val="en-US"/>
              </w:rPr>
              <w:t>fulfilled and</w:t>
            </w:r>
            <w:r>
              <w:rPr>
                <w:rStyle w:val="normaltextrun"/>
                <w:rFonts w:cstheme="minorHAnsi"/>
                <w:color w:val="000000"/>
                <w:shd w:val="clear" w:color="auto" w:fill="FFFFFF"/>
                <w:lang w:val="en-US"/>
              </w:rPr>
              <w:t xml:space="preserve"> should incorporate any lessons learnt in their procurement planning process.”</w:t>
            </w:r>
            <w:r w:rsidR="00112FA4">
              <w:rPr>
                <w:rStyle w:val="normaltextrun"/>
                <w:rFonts w:cstheme="minorHAnsi"/>
                <w:color w:val="000000"/>
                <w:shd w:val="clear" w:color="auto" w:fill="FFFFFF"/>
                <w:lang w:val="en-US"/>
              </w:rPr>
              <w:t xml:space="preserve"> Specific product requirements are set out in Annex A and Annex B. </w:t>
            </w: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196CDCAA" w:rsidR="009A5C4E" w:rsidRPr="0074258C" w:rsidRDefault="00112FA4" w:rsidP="00CF2E7C">
            <w:pPr>
              <w:rPr>
                <w:rStyle w:val="normaltextrun"/>
                <w:rFonts w:cstheme="minorHAnsi"/>
                <w:color w:val="000000"/>
                <w:lang w:val="en-US"/>
              </w:rPr>
            </w:pPr>
            <w:r>
              <w:rPr>
                <w:rStyle w:val="normaltextrun"/>
                <w:rFonts w:cstheme="minorHAnsi"/>
                <w:color w:val="000000"/>
                <w:lang w:val="en-US"/>
              </w:rPr>
              <w:t>X</w:t>
            </w: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C874C05" w:rsidR="009A5C4E" w:rsidRDefault="00112FA4" w:rsidP="00112FA4">
            <w:pPr>
              <w:jc w:val="both"/>
              <w:rPr>
                <w:rStyle w:val="normaltextrun"/>
                <w:rFonts w:ascii="Mulish" w:hAnsi="Mulish"/>
                <w:color w:val="000000"/>
                <w:sz w:val="22"/>
                <w:szCs w:val="22"/>
                <w:shd w:val="clear" w:color="auto" w:fill="FFFFFF"/>
                <w:lang w:val="en-US"/>
              </w:rPr>
            </w:pPr>
            <w:r>
              <w:rPr>
                <w:rStyle w:val="normaltextrun"/>
                <w:rFonts w:ascii="Mulish" w:hAnsi="Mulish"/>
                <w:color w:val="000000"/>
                <w:sz w:val="22"/>
                <w:szCs w:val="22"/>
                <w:shd w:val="clear" w:color="auto" w:fill="FFFFFF"/>
                <w:lang w:val="en-US"/>
              </w:rPr>
              <w:t xml:space="preserve">Page 20 of the policy tool provides that government entities are to report their progress in the implementation of the GPP Guidelines to the GPP Administrator on a yearly basis. Such a report should compare the level of achievements with targets and outline mitigation measures if necessary. The GPP Administrator promotes the implementation of this policy tool and supervises the targeting and reporting process, and pursues continuous improvement of GPP practices.  </w:t>
            </w: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530FD18" w:rsidR="007802C6" w:rsidRPr="00CF2E7C" w:rsidRDefault="00112FA4" w:rsidP="00CF2E7C">
            <w:pPr>
              <w:rPr>
                <w:rFonts w:ascii="Calibri" w:hAnsi="Calibri" w:cs="Calibri"/>
              </w:rPr>
            </w:pPr>
            <w:r>
              <w:rPr>
                <w:rFonts w:ascii="Calibri" w:hAnsi="Calibri" w:cs="Calibri"/>
              </w:rPr>
              <w:t>X</w:t>
            </w: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1340B9F5" w:rsidR="007802C6" w:rsidRPr="00CF2E7C" w:rsidRDefault="00112FA4" w:rsidP="00CF2E7C">
            <w:pPr>
              <w:rPr>
                <w:rFonts w:ascii="Calibri" w:hAnsi="Calibri" w:cs="Calibri"/>
              </w:rPr>
            </w:pPr>
            <w:r>
              <w:rPr>
                <w:rFonts w:ascii="Calibri" w:hAnsi="Calibri" w:cs="Calibri"/>
              </w:rPr>
              <w:t>X</w:t>
            </w: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14195FF" w:rsidR="007802C6" w:rsidRPr="00CF2E7C" w:rsidRDefault="00112FA4" w:rsidP="00CF2E7C">
            <w:pPr>
              <w:rPr>
                <w:rFonts w:ascii="Calibri" w:hAnsi="Calibri" w:cs="Calibri"/>
              </w:rPr>
            </w:pPr>
            <w:r>
              <w:rPr>
                <w:rFonts w:ascii="Calibri" w:hAnsi="Calibri" w:cs="Calibri"/>
              </w:rPr>
              <w:t>X</w:t>
            </w: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54024EDE" w:rsidR="007802C6" w:rsidRPr="00CF2E7C" w:rsidRDefault="00112FA4" w:rsidP="00CF2E7C">
            <w:pPr>
              <w:rPr>
                <w:rFonts w:ascii="Calibri" w:hAnsi="Calibri" w:cs="Calibri"/>
              </w:rPr>
            </w:pPr>
            <w:r>
              <w:rPr>
                <w:rFonts w:ascii="Calibri" w:hAnsi="Calibri" w:cs="Calibri"/>
              </w:rPr>
              <w:t>X</w:t>
            </w: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76462AAD" w:rsidR="007802C6" w:rsidRPr="00CF2E7C" w:rsidRDefault="00112FA4" w:rsidP="00CF2E7C">
            <w:pPr>
              <w:rPr>
                <w:rFonts w:ascii="Calibri" w:hAnsi="Calibri" w:cs="Calibri"/>
              </w:rPr>
            </w:pPr>
            <w:r>
              <w:rPr>
                <w:rFonts w:ascii="Calibri" w:hAnsi="Calibri" w:cs="Calibri"/>
              </w:rPr>
              <w:t>X</w:t>
            </w: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116EB658" w:rsidR="007802C6" w:rsidRPr="00CF2E7C" w:rsidRDefault="007802C6" w:rsidP="00CF2E7C">
            <w:pPr>
              <w:rPr>
                <w:rFonts w:ascii="Calibri" w:hAnsi="Calibri" w:cs="Calibri"/>
              </w:rPr>
            </w:pPr>
          </w:p>
        </w:tc>
        <w:tc>
          <w:tcPr>
            <w:tcW w:w="1716" w:type="dxa"/>
            <w:vAlign w:val="center"/>
          </w:tcPr>
          <w:p w14:paraId="7E149AB5" w14:textId="5F5618F8" w:rsidR="007802C6" w:rsidRPr="00CF2E7C" w:rsidRDefault="00112FA4" w:rsidP="00CF2E7C">
            <w:pPr>
              <w:rPr>
                <w:rFonts w:ascii="Calibri" w:hAnsi="Calibri" w:cs="Calibri"/>
              </w:rPr>
            </w:pPr>
            <w:r>
              <w:rPr>
                <w:rFonts w:ascii="Calibri" w:hAnsi="Calibri" w:cs="Calibri"/>
              </w:rPr>
              <w:t>X</w:t>
            </w: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4B8CA7BF" w:rsidR="007802C6" w:rsidRPr="00CF2E7C" w:rsidRDefault="00112FA4" w:rsidP="00CF2E7C">
            <w:pPr>
              <w:rPr>
                <w:rFonts w:ascii="Calibri" w:hAnsi="Calibri" w:cs="Calibri"/>
              </w:rPr>
            </w:pPr>
            <w:r>
              <w:rPr>
                <w:rFonts w:ascii="Calibri" w:hAnsi="Calibri" w:cs="Calibri"/>
              </w:rPr>
              <w:t>X</w:t>
            </w: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2BBBF32" w:rsidR="007802C6" w:rsidRPr="00CF2E7C" w:rsidRDefault="00112FA4" w:rsidP="00CF2E7C">
            <w:pPr>
              <w:rPr>
                <w:rFonts w:ascii="Calibri" w:hAnsi="Calibri" w:cs="Calibri"/>
              </w:rPr>
            </w:pPr>
            <w:r>
              <w:rPr>
                <w:rFonts w:ascii="Calibri" w:hAnsi="Calibri" w:cs="Calibri"/>
              </w:rPr>
              <w:t>X</w:t>
            </w: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69E6F1AF" w:rsidR="007802C6" w:rsidRPr="00CF2E7C" w:rsidRDefault="00112FA4" w:rsidP="00CF2E7C">
            <w:pPr>
              <w:rPr>
                <w:rFonts w:ascii="Calibri" w:hAnsi="Calibri" w:cs="Calibri"/>
              </w:rPr>
            </w:pPr>
            <w:r>
              <w:rPr>
                <w:rFonts w:ascii="Calibri" w:hAnsi="Calibri" w:cs="Calibri"/>
              </w:rPr>
              <w:t>X</w:t>
            </w: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4A0A0785" w:rsidR="007802C6" w:rsidRPr="00CF2E7C" w:rsidRDefault="00112FA4" w:rsidP="00CF2E7C">
            <w:pPr>
              <w:rPr>
                <w:rFonts w:ascii="Calibri" w:hAnsi="Calibri" w:cs="Calibri"/>
              </w:rPr>
            </w:pPr>
            <w:r>
              <w:rPr>
                <w:rFonts w:ascii="Calibri" w:hAnsi="Calibri" w:cs="Calibri"/>
              </w:rPr>
              <w:t>X</w:t>
            </w: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5976F7F0" w:rsidR="007802C6" w:rsidRPr="00CF2E7C" w:rsidRDefault="00112FA4" w:rsidP="00CF2E7C">
            <w:pPr>
              <w:rPr>
                <w:rFonts w:ascii="Calibri" w:hAnsi="Calibri" w:cs="Calibri"/>
              </w:rPr>
            </w:pPr>
            <w:r>
              <w:rPr>
                <w:rFonts w:ascii="Calibri" w:hAnsi="Calibri" w:cs="Calibri"/>
              </w:rPr>
              <w:t>X</w:t>
            </w: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5DC6EA4A" w:rsidR="007802C6" w:rsidRPr="00CF2E7C" w:rsidRDefault="00112FA4" w:rsidP="00CF2E7C">
            <w:pPr>
              <w:rPr>
                <w:rFonts w:ascii="Calibri" w:hAnsi="Calibri" w:cs="Calibri"/>
              </w:rPr>
            </w:pPr>
            <w:r>
              <w:rPr>
                <w:rFonts w:ascii="Calibri" w:hAnsi="Calibri" w:cs="Calibri"/>
              </w:rPr>
              <w:t>X</w:t>
            </w: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06C88C1B" w:rsidR="007802C6" w:rsidRPr="00CF2E7C" w:rsidRDefault="00112FA4" w:rsidP="00CF2E7C">
            <w:pPr>
              <w:rPr>
                <w:rFonts w:ascii="Calibri" w:hAnsi="Calibri" w:cs="Calibri"/>
              </w:rPr>
            </w:pPr>
            <w:r>
              <w:rPr>
                <w:rFonts w:ascii="Calibri" w:hAnsi="Calibri" w:cs="Calibri"/>
              </w:rPr>
              <w:t>X</w:t>
            </w: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695FFBA3" w:rsidR="007802C6" w:rsidRPr="00CF2E7C" w:rsidRDefault="00112FA4" w:rsidP="00CF2E7C">
            <w:pPr>
              <w:rPr>
                <w:rFonts w:ascii="Calibri" w:hAnsi="Calibri" w:cs="Calibri"/>
              </w:rPr>
            </w:pPr>
            <w:r>
              <w:rPr>
                <w:rFonts w:ascii="Calibri" w:hAnsi="Calibri" w:cs="Calibri"/>
              </w:rPr>
              <w:t>X</w:t>
            </w: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15FE713C" w:rsidR="007802C6" w:rsidRPr="00CF2E7C" w:rsidRDefault="00112FA4" w:rsidP="00CF2E7C">
            <w:pPr>
              <w:rPr>
                <w:rFonts w:ascii="Calibri" w:hAnsi="Calibri" w:cs="Calibri"/>
              </w:rPr>
            </w:pPr>
            <w:r>
              <w:rPr>
                <w:rFonts w:ascii="Calibri" w:hAnsi="Calibri" w:cs="Calibri"/>
              </w:rPr>
              <w:t>X</w:t>
            </w: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675620DA" w:rsidR="007802C6" w:rsidRPr="00CF2E7C" w:rsidRDefault="00112FA4" w:rsidP="00CF2E7C">
            <w:pPr>
              <w:rPr>
                <w:rFonts w:ascii="Calibri" w:hAnsi="Calibri" w:cs="Calibri"/>
              </w:rPr>
            </w:pPr>
            <w:r>
              <w:rPr>
                <w:rFonts w:ascii="Calibri" w:hAnsi="Calibri" w:cs="Calibri"/>
              </w:rPr>
              <w:t>X</w:t>
            </w: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28145F5F" w:rsidR="007802C6" w:rsidRPr="00CF2E7C" w:rsidRDefault="00112FA4" w:rsidP="00CF2E7C">
            <w:pPr>
              <w:rPr>
                <w:rFonts w:ascii="Calibri" w:hAnsi="Calibri" w:cs="Calibri"/>
              </w:rPr>
            </w:pPr>
            <w:r>
              <w:rPr>
                <w:rFonts w:ascii="Calibri" w:hAnsi="Calibri" w:cs="Calibri"/>
              </w:rPr>
              <w:t>X</w:t>
            </w: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094766EA" w:rsidR="007802C6" w:rsidRPr="00CF2E7C" w:rsidRDefault="00112FA4" w:rsidP="00CF2E7C">
            <w:pPr>
              <w:rPr>
                <w:rFonts w:ascii="Calibri" w:hAnsi="Calibri" w:cs="Calibri"/>
              </w:rPr>
            </w:pPr>
            <w:r>
              <w:rPr>
                <w:rFonts w:ascii="Calibri" w:hAnsi="Calibri" w:cs="Calibri"/>
              </w:rPr>
              <w:t>X</w:t>
            </w: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321BE8F7" w:rsidR="007802C6" w:rsidRPr="00CF2E7C" w:rsidRDefault="00112FA4" w:rsidP="00CF2E7C">
            <w:pPr>
              <w:rPr>
                <w:rFonts w:ascii="Calibri" w:hAnsi="Calibri" w:cs="Calibri"/>
              </w:rPr>
            </w:pPr>
            <w:r>
              <w:rPr>
                <w:rFonts w:ascii="Calibri" w:hAnsi="Calibri" w:cs="Calibri"/>
              </w:rPr>
              <w:t>X</w:t>
            </w: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4D24F1B2" w:rsidR="007802C6" w:rsidRPr="00CF2E7C" w:rsidRDefault="00112FA4" w:rsidP="00CF2E7C">
            <w:pPr>
              <w:rPr>
                <w:rFonts w:ascii="Calibri" w:hAnsi="Calibri" w:cs="Calibri"/>
              </w:rPr>
            </w:pPr>
            <w:r>
              <w:rPr>
                <w:rFonts w:ascii="Calibri" w:hAnsi="Calibri" w:cs="Calibri"/>
              </w:rPr>
              <w:t>X</w:t>
            </w: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052A0E70" w:rsidR="007802C6" w:rsidRPr="00CF2E7C" w:rsidRDefault="00112FA4" w:rsidP="00CF2E7C">
            <w:pPr>
              <w:rPr>
                <w:rFonts w:ascii="Calibri" w:hAnsi="Calibri" w:cs="Calibri"/>
              </w:rPr>
            </w:pPr>
            <w:r>
              <w:rPr>
                <w:rFonts w:ascii="Calibri" w:hAnsi="Calibri" w:cs="Calibri"/>
              </w:rPr>
              <w:t>X</w:t>
            </w: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lastRenderedPageBreak/>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5791E2DF" w14:textId="1A726F04" w:rsidR="007802C6" w:rsidRDefault="00112FA4" w:rsidP="00CF2E7C">
            <w:pPr>
              <w:rPr>
                <w:rFonts w:ascii="Calibri" w:hAnsi="Calibri" w:cs="Calibri"/>
              </w:rPr>
            </w:pPr>
            <w:hyperlink r:id="rId19" w:history="1">
              <w:r w:rsidRPr="00112FA4">
                <w:rPr>
                  <w:rStyle w:val="Hyperlink"/>
                  <w:rFonts w:ascii="Calibri" w:hAnsi="Calibri" w:cs="Calibri"/>
                </w:rPr>
                <w:t>ISO 50001 certification</w:t>
              </w:r>
            </w:hyperlink>
          </w:p>
          <w:p w14:paraId="0D25B00B" w14:textId="5F028C2F" w:rsidR="00112FA4" w:rsidRDefault="00112FA4" w:rsidP="00CF2E7C">
            <w:pPr>
              <w:rPr>
                <w:rFonts w:ascii="Calibri" w:hAnsi="Calibri" w:cs="Calibri"/>
              </w:rPr>
            </w:pPr>
            <w:hyperlink r:id="rId20" w:history="1">
              <w:r w:rsidRPr="00112FA4">
                <w:rPr>
                  <w:rStyle w:val="Hyperlink"/>
                  <w:rFonts w:ascii="Calibri" w:hAnsi="Calibri" w:cs="Calibri"/>
                </w:rPr>
                <w:t>ISO 14001</w:t>
              </w:r>
            </w:hyperlink>
          </w:p>
          <w:p w14:paraId="7EB1450E" w14:textId="157EA8F0" w:rsidR="00112FA4" w:rsidRPr="00CF2E7C" w:rsidRDefault="00112FA4" w:rsidP="00CF2E7C">
            <w:pPr>
              <w:rPr>
                <w:rFonts w:ascii="Calibri" w:hAnsi="Calibri" w:cs="Calibri"/>
              </w:rPr>
            </w:pPr>
            <w:hyperlink r:id="rId21" w:history="1">
              <w:r w:rsidRPr="00112FA4">
                <w:rPr>
                  <w:rStyle w:val="Hyperlink"/>
                  <w:rFonts w:ascii="Calibri" w:hAnsi="Calibri" w:cs="Calibri"/>
                </w:rPr>
                <w:t>ISO 13253:2011</w:t>
              </w:r>
            </w:hyperlink>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112FA4"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112FA4" w:rsidRDefault="00092534" w:rsidP="00CF2E7C">
            <w:pPr>
              <w:rPr>
                <w:rFonts w:ascii="Calibri" w:hAnsi="Calibri" w:cs="Calibri"/>
                <w:lang w:val="fr-FR"/>
              </w:rPr>
            </w:pPr>
            <w:r w:rsidRPr="00112FA4">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112FA4" w:rsidRDefault="00092534" w:rsidP="00CF2E7C">
            <w:pPr>
              <w:rPr>
                <w:rFonts w:ascii="Calibri" w:hAnsi="Calibri" w:cs="Calibri"/>
                <w:lang w:val="fr-FR"/>
              </w:rPr>
            </w:pPr>
          </w:p>
        </w:tc>
      </w:tr>
      <w:tr w:rsidR="00092534" w:rsidRPr="009F078F"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112FA4"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112FA4" w:rsidRDefault="00DD292A" w:rsidP="00CF2E7C">
            <w:pPr>
              <w:rPr>
                <w:rFonts w:ascii="Calibri" w:hAnsi="Calibri" w:cs="Calibri"/>
                <w:lang w:val="fr-FR"/>
              </w:rPr>
            </w:pPr>
            <w:r w:rsidRPr="00112FA4">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112FA4" w:rsidRDefault="00DD292A" w:rsidP="00CF2E7C">
            <w:pPr>
              <w:rPr>
                <w:rFonts w:ascii="Calibri" w:hAnsi="Calibri" w:cs="Calibri"/>
                <w:lang w:val="fr-FR"/>
              </w:rPr>
            </w:pPr>
          </w:p>
        </w:tc>
      </w:tr>
      <w:tr w:rsidR="00DD292A" w:rsidRPr="009F078F"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3"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112FA4"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112FA4" w:rsidRDefault="002F0752" w:rsidP="00CF2E7C">
            <w:pPr>
              <w:rPr>
                <w:rFonts w:ascii="Calibri" w:hAnsi="Calibri" w:cs="Calibri"/>
                <w:lang w:val="fr-FR"/>
              </w:rPr>
            </w:pPr>
            <w:r w:rsidRPr="00112FA4">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112FA4" w:rsidRDefault="002F0752" w:rsidP="00CF2E7C">
            <w:pPr>
              <w:rPr>
                <w:rFonts w:ascii="Calibri" w:hAnsi="Calibri" w:cs="Calibri"/>
                <w:lang w:val="fr-FR"/>
              </w:rPr>
            </w:pPr>
          </w:p>
        </w:tc>
      </w:tr>
      <w:tr w:rsidR="002F0752" w:rsidRPr="005762C9"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4"/>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0EABCDA" w14:textId="77777777" w:rsidR="00EC6E05" w:rsidRDefault="00EC6E05" w:rsidP="00874E39">
      <w:r>
        <w:separator/>
      </w:r>
    </w:p>
  </w:endnote>
  <w:endnote w:type="continuationSeparator" w:id="0">
    <w:p w14:paraId="4643CE5F" w14:textId="77777777" w:rsidR="00EC6E05" w:rsidRDefault="00EC6E05" w:rsidP="00874E39">
      <w:r>
        <w:continuationSeparator/>
      </w:r>
    </w:p>
  </w:endnote>
  <w:endnote w:type="continuationNotice" w:id="1">
    <w:p w14:paraId="65C187C7" w14:textId="77777777" w:rsidR="00EC6E05" w:rsidRDefault="00EC6E0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1E0AA85" w14:textId="77777777" w:rsidR="00EC6E05" w:rsidRDefault="00EC6E05" w:rsidP="00874E39">
      <w:r>
        <w:separator/>
      </w:r>
    </w:p>
  </w:footnote>
  <w:footnote w:type="continuationSeparator" w:id="0">
    <w:p w14:paraId="0D1D9A0A" w14:textId="77777777" w:rsidR="00EC6E05" w:rsidRDefault="00EC6E05" w:rsidP="00874E39">
      <w:r>
        <w:continuationSeparator/>
      </w:r>
    </w:p>
  </w:footnote>
  <w:footnote w:type="continuationNotice" w:id="1">
    <w:p w14:paraId="1828AFEF" w14:textId="77777777" w:rsidR="00EC6E05" w:rsidRDefault="00EC6E0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9A94329"/>
    <w:multiLevelType w:val="hybridMultilevel"/>
    <w:tmpl w:val="B05E72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49F56B1"/>
    <w:multiLevelType w:val="hybridMultilevel"/>
    <w:tmpl w:val="1C5692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1"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2"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3"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4"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5"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6" w15:restartNumberingAfterBreak="0">
    <w:nsid w:val="2AA52545"/>
    <w:multiLevelType w:val="hybridMultilevel"/>
    <w:tmpl w:val="A51A66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8" w15:restartNumberingAfterBreak="0">
    <w:nsid w:val="2E373000"/>
    <w:multiLevelType w:val="multilevel"/>
    <w:tmpl w:val="4C9EA4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20"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1"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2"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3"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4"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5"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6"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7"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8"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9"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0"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1"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2"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3"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4"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5"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6"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7"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8"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9"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0"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2"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3"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4"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5"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6"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7"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8"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9"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0"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1"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20"/>
  </w:num>
  <w:num w:numId="2" w16cid:durableId="482308869">
    <w:abstractNumId w:val="27"/>
  </w:num>
  <w:num w:numId="3" w16cid:durableId="690952733">
    <w:abstractNumId w:val="45"/>
  </w:num>
  <w:num w:numId="4" w16cid:durableId="1689330127">
    <w:abstractNumId w:val="1"/>
  </w:num>
  <w:num w:numId="5" w16cid:durableId="401291788">
    <w:abstractNumId w:val="32"/>
  </w:num>
  <w:num w:numId="6" w16cid:durableId="1276788690">
    <w:abstractNumId w:val="15"/>
  </w:num>
  <w:num w:numId="7" w16cid:durableId="566767730">
    <w:abstractNumId w:val="24"/>
  </w:num>
  <w:num w:numId="8" w16cid:durableId="1780710843">
    <w:abstractNumId w:val="38"/>
  </w:num>
  <w:num w:numId="9" w16cid:durableId="1685783054">
    <w:abstractNumId w:val="3"/>
  </w:num>
  <w:num w:numId="10" w16cid:durableId="950551298">
    <w:abstractNumId w:val="35"/>
  </w:num>
  <w:num w:numId="11" w16cid:durableId="1591960799">
    <w:abstractNumId w:val="51"/>
  </w:num>
  <w:num w:numId="12" w16cid:durableId="1344891410">
    <w:abstractNumId w:val="11"/>
  </w:num>
  <w:num w:numId="13" w16cid:durableId="2023899324">
    <w:abstractNumId w:val="13"/>
  </w:num>
  <w:num w:numId="14" w16cid:durableId="430587014">
    <w:abstractNumId w:val="8"/>
  </w:num>
  <w:num w:numId="15" w16cid:durableId="1742869061">
    <w:abstractNumId w:val="34"/>
  </w:num>
  <w:num w:numId="16" w16cid:durableId="1996450437">
    <w:abstractNumId w:val="23"/>
  </w:num>
  <w:num w:numId="17" w16cid:durableId="1529031027">
    <w:abstractNumId w:val="10"/>
  </w:num>
  <w:num w:numId="18" w16cid:durableId="568614617">
    <w:abstractNumId w:val="21"/>
  </w:num>
  <w:num w:numId="19" w16cid:durableId="1530605858">
    <w:abstractNumId w:val="46"/>
  </w:num>
  <w:num w:numId="20" w16cid:durableId="1328172586">
    <w:abstractNumId w:val="19"/>
  </w:num>
  <w:num w:numId="21" w16cid:durableId="184827816">
    <w:abstractNumId w:val="31"/>
  </w:num>
  <w:num w:numId="22" w16cid:durableId="1785346599">
    <w:abstractNumId w:val="37"/>
  </w:num>
  <w:num w:numId="23" w16cid:durableId="1294288901">
    <w:abstractNumId w:val="30"/>
  </w:num>
  <w:num w:numId="24" w16cid:durableId="1603957975">
    <w:abstractNumId w:val="48"/>
  </w:num>
  <w:num w:numId="25" w16cid:durableId="1659531047">
    <w:abstractNumId w:val="47"/>
  </w:num>
  <w:num w:numId="26" w16cid:durableId="752774403">
    <w:abstractNumId w:val="26"/>
  </w:num>
  <w:num w:numId="27" w16cid:durableId="347872198">
    <w:abstractNumId w:val="7"/>
  </w:num>
  <w:num w:numId="28" w16cid:durableId="537133110">
    <w:abstractNumId w:val="14"/>
  </w:num>
  <w:num w:numId="29" w16cid:durableId="1632318729">
    <w:abstractNumId w:val="49"/>
  </w:num>
  <w:num w:numId="30" w16cid:durableId="1268124074">
    <w:abstractNumId w:val="36"/>
  </w:num>
  <w:num w:numId="31" w16cid:durableId="887108748">
    <w:abstractNumId w:val="33"/>
  </w:num>
  <w:num w:numId="32" w16cid:durableId="1826125712">
    <w:abstractNumId w:val="39"/>
  </w:num>
  <w:num w:numId="33" w16cid:durableId="823357978">
    <w:abstractNumId w:val="43"/>
  </w:num>
  <w:num w:numId="34" w16cid:durableId="1092120443">
    <w:abstractNumId w:val="42"/>
  </w:num>
  <w:num w:numId="35" w16cid:durableId="124861188">
    <w:abstractNumId w:val="12"/>
  </w:num>
  <w:num w:numId="36" w16cid:durableId="1952588250">
    <w:abstractNumId w:val="41"/>
  </w:num>
  <w:num w:numId="37" w16cid:durableId="1712027211">
    <w:abstractNumId w:val="4"/>
  </w:num>
  <w:num w:numId="38" w16cid:durableId="2033795929">
    <w:abstractNumId w:val="2"/>
  </w:num>
  <w:num w:numId="39" w16cid:durableId="1238595582">
    <w:abstractNumId w:val="28"/>
  </w:num>
  <w:num w:numId="40" w16cid:durableId="416558262">
    <w:abstractNumId w:val="25"/>
  </w:num>
  <w:num w:numId="41" w16cid:durableId="1543715517">
    <w:abstractNumId w:val="22"/>
  </w:num>
  <w:num w:numId="42" w16cid:durableId="452208391">
    <w:abstractNumId w:val="17"/>
  </w:num>
  <w:num w:numId="43" w16cid:durableId="260340070">
    <w:abstractNumId w:val="0"/>
  </w:num>
  <w:num w:numId="44" w16cid:durableId="1639914969">
    <w:abstractNumId w:val="6"/>
  </w:num>
  <w:num w:numId="45" w16cid:durableId="1554191892">
    <w:abstractNumId w:val="44"/>
  </w:num>
  <w:num w:numId="46" w16cid:durableId="947811845">
    <w:abstractNumId w:val="50"/>
  </w:num>
  <w:num w:numId="47" w16cid:durableId="342588554">
    <w:abstractNumId w:val="29"/>
  </w:num>
  <w:num w:numId="48" w16cid:durableId="318391343">
    <w:abstractNumId w:val="40"/>
  </w:num>
  <w:num w:numId="49" w16cid:durableId="601645543">
    <w:abstractNumId w:val="5"/>
  </w:num>
  <w:num w:numId="50" w16cid:durableId="67927076">
    <w:abstractNumId w:val="18"/>
  </w:num>
  <w:num w:numId="51" w16cid:durableId="1007828773">
    <w:abstractNumId w:val="9"/>
  </w:num>
  <w:num w:numId="52" w16cid:durableId="159976975">
    <w:abstractNumId w:val="1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3"/>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1DB8"/>
    <w:rsid w:val="001021EC"/>
    <w:rsid w:val="00104BA2"/>
    <w:rsid w:val="00104EB1"/>
    <w:rsid w:val="00105889"/>
    <w:rsid w:val="00105C84"/>
    <w:rsid w:val="00105F75"/>
    <w:rsid w:val="0010639D"/>
    <w:rsid w:val="00106F13"/>
    <w:rsid w:val="001076B0"/>
    <w:rsid w:val="001078E1"/>
    <w:rsid w:val="00107CE2"/>
    <w:rsid w:val="00107D91"/>
    <w:rsid w:val="001126A8"/>
    <w:rsid w:val="00112815"/>
    <w:rsid w:val="00112A2C"/>
    <w:rsid w:val="00112A6B"/>
    <w:rsid w:val="00112FA4"/>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743"/>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41D5"/>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87C1D"/>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4CE7"/>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4A34"/>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360A"/>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87D3D"/>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7A9"/>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497D"/>
    <w:rsid w:val="00566FDB"/>
    <w:rsid w:val="00570082"/>
    <w:rsid w:val="00571BA3"/>
    <w:rsid w:val="005722D9"/>
    <w:rsid w:val="005733AF"/>
    <w:rsid w:val="00574C66"/>
    <w:rsid w:val="005758ED"/>
    <w:rsid w:val="00575D67"/>
    <w:rsid w:val="005762C9"/>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5009"/>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AB6"/>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C80"/>
    <w:rsid w:val="00816D92"/>
    <w:rsid w:val="00816F1B"/>
    <w:rsid w:val="008208A0"/>
    <w:rsid w:val="00820D9F"/>
    <w:rsid w:val="00822032"/>
    <w:rsid w:val="008247E4"/>
    <w:rsid w:val="0082488A"/>
    <w:rsid w:val="008253D6"/>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E7936"/>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3D5C"/>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078F"/>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155"/>
    <w:rsid w:val="00A1384B"/>
    <w:rsid w:val="00A14A3D"/>
    <w:rsid w:val="00A14AF3"/>
    <w:rsid w:val="00A14B52"/>
    <w:rsid w:val="00A16B3D"/>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26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0B59"/>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172"/>
    <w:rsid w:val="00BF4357"/>
    <w:rsid w:val="00BF5C7E"/>
    <w:rsid w:val="00BF5CAB"/>
    <w:rsid w:val="00BF6293"/>
    <w:rsid w:val="00BF6E4C"/>
    <w:rsid w:val="00BF71E9"/>
    <w:rsid w:val="00BF71F1"/>
    <w:rsid w:val="00BF76DF"/>
    <w:rsid w:val="00BF7CB5"/>
    <w:rsid w:val="00C01031"/>
    <w:rsid w:val="00C01384"/>
    <w:rsid w:val="00C01AF9"/>
    <w:rsid w:val="00C0223E"/>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BA2"/>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11B3"/>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22F"/>
    <w:rsid w:val="00EA65D9"/>
    <w:rsid w:val="00EA67B3"/>
    <w:rsid w:val="00EA734B"/>
    <w:rsid w:val="00EA7A7E"/>
    <w:rsid w:val="00EB2081"/>
    <w:rsid w:val="00EB2852"/>
    <w:rsid w:val="00EB2E05"/>
    <w:rsid w:val="00EB348F"/>
    <w:rsid w:val="00EB39B5"/>
    <w:rsid w:val="00EB3E15"/>
    <w:rsid w:val="00EB55BA"/>
    <w:rsid w:val="00EB7AF0"/>
    <w:rsid w:val="00EB7FED"/>
    <w:rsid w:val="00EC0583"/>
    <w:rsid w:val="00EC0612"/>
    <w:rsid w:val="00EC079D"/>
    <w:rsid w:val="00EC0AB2"/>
    <w:rsid w:val="00EC24B4"/>
    <w:rsid w:val="00EC2AE7"/>
    <w:rsid w:val="00EC2EDF"/>
    <w:rsid w:val="00EC42A1"/>
    <w:rsid w:val="00EC523C"/>
    <w:rsid w:val="00EC675B"/>
    <w:rsid w:val="00EC6E05"/>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46B"/>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6A4"/>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816C80"/>
    <w:pPr>
      <w:spacing w:before="100" w:beforeAutospacing="1" w:after="100" w:afterAutospacing="1"/>
    </w:pPr>
    <w:rPr>
      <w:rFonts w:ascii="Times New Roman" w:eastAsia="Times New Roman" w:hAnsi="Times New Roman" w:cs="Times New Roman"/>
      <w:kern w:val="0"/>
      <w:lang w:eastAsia="en-GB"/>
      <w14:ligatures w14:val="none"/>
    </w:rPr>
  </w:style>
  <w:style w:type="character" w:styleId="Strong">
    <w:name w:val="Strong"/>
    <w:basedOn w:val="DefaultParagraphFont"/>
    <w:uiPriority w:val="22"/>
    <w:qFormat/>
    <w:rsid w:val="00816C80"/>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32944157">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29094287">
      <w:bodyDiv w:val="1"/>
      <w:marLeft w:val="0"/>
      <w:marRight w:val="0"/>
      <w:marTop w:val="0"/>
      <w:marBottom w:val="0"/>
      <w:divBdr>
        <w:top w:val="none" w:sz="0" w:space="0" w:color="auto"/>
        <w:left w:val="none" w:sz="0" w:space="0" w:color="auto"/>
        <w:bottom w:val="none" w:sz="0" w:space="0" w:color="auto"/>
        <w:right w:val="none" w:sz="0" w:space="0" w:color="auto"/>
      </w:divBdr>
    </w:div>
    <w:div w:id="698622244">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4981942">
      <w:bodyDiv w:val="1"/>
      <w:marLeft w:val="0"/>
      <w:marRight w:val="0"/>
      <w:marTop w:val="0"/>
      <w:marBottom w:val="0"/>
      <w:divBdr>
        <w:top w:val="none" w:sz="0" w:space="0" w:color="auto"/>
        <w:left w:val="none" w:sz="0" w:space="0" w:color="auto"/>
        <w:bottom w:val="none" w:sz="0" w:space="0" w:color="auto"/>
        <w:right w:val="none" w:sz="0" w:space="0" w:color="auto"/>
      </w:divBdr>
    </w:div>
    <w:div w:id="924875202">
      <w:bodyDiv w:val="1"/>
      <w:marLeft w:val="0"/>
      <w:marRight w:val="0"/>
      <w:marTop w:val="0"/>
      <w:marBottom w:val="0"/>
      <w:divBdr>
        <w:top w:val="none" w:sz="0" w:space="0" w:color="auto"/>
        <w:left w:val="none" w:sz="0" w:space="0" w:color="auto"/>
        <w:bottom w:val="none" w:sz="0" w:space="0" w:color="auto"/>
        <w:right w:val="none" w:sz="0" w:space="0" w:color="auto"/>
      </w:divBdr>
    </w:div>
    <w:div w:id="1106850086">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6178036">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reem.rak.ae/category/projects-tenders/"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s://www.iso.org/standard/54064.html"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reem.rak.ae/wp-content/uploads/2025/02/202412-Green-Public-Procurement-Guidelines-for-Resolution-19_-EN_-vf_Approved.pdf"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iso.org/standard/60857.html"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ww.fsb.org/uploads/P131022-1.pdf" TargetMode="External"/><Relationship Id="rId10" Type="http://schemas.openxmlformats.org/officeDocument/2006/relationships/endnotes" Target="endnotes.xml"/><Relationship Id="rId19" Type="http://schemas.openxmlformats.org/officeDocument/2006/relationships/hyperlink" Target="https://www.iso.org/iso-50001-energy-management.html"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ww.bis.org/fsi/fsibriefs18.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113</Pages>
  <Words>23464</Words>
  <Characters>133747</Characters>
  <Application>Microsoft Office Word</Application>
  <DocSecurity>4</DocSecurity>
  <Lines>1114</Lines>
  <Paragraphs>313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156898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Reed Smith</cp:lastModifiedBy>
  <cp:revision>2</cp:revision>
  <cp:lastPrinted>2025-03-21T00:14:00Z</cp:lastPrinted>
  <dcterms:created xsi:type="dcterms:W3CDTF">2025-07-06T15:24:00Z</dcterms:created>
  <dcterms:modified xsi:type="dcterms:W3CDTF">2025-07-06T15:24:00Z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